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7011" w14:textId="77777777" w:rsidR="00C22A9C" w:rsidRDefault="00C22A9C">
      <w:pPr>
        <w:spacing w:line="31" w:lineRule="exact"/>
        <w:rPr>
          <w:sz w:val="24"/>
          <w:szCs w:val="24"/>
        </w:rPr>
      </w:pPr>
    </w:p>
    <w:p w14:paraId="07BA6BA9" w14:textId="77777777" w:rsidR="00713574" w:rsidRPr="00747FD1" w:rsidRDefault="00713574">
      <w:pPr>
        <w:ind w:right="484"/>
        <w:jc w:val="center"/>
        <w:rPr>
          <w:rFonts w:asciiTheme="minorHAnsi" w:eastAsia="Calibri" w:hAnsiTheme="minorHAnsi" w:cstheme="minorHAnsi"/>
          <w:b/>
          <w:bCs/>
          <w:sz w:val="24"/>
          <w:szCs w:val="24"/>
        </w:rPr>
      </w:pPr>
      <w:r w:rsidRPr="00747FD1">
        <w:rPr>
          <w:rFonts w:asciiTheme="minorHAnsi" w:eastAsia="Calibri" w:hAnsiTheme="minorHAnsi" w:cstheme="minorHAnsi"/>
          <w:b/>
          <w:bCs/>
          <w:sz w:val="24"/>
          <w:szCs w:val="24"/>
        </w:rPr>
        <w:t xml:space="preserve">UPPINGHAM TOWN COUNCIL  </w:t>
      </w:r>
    </w:p>
    <w:p w14:paraId="4A7A96A6" w14:textId="77777777" w:rsidR="00C22A9C" w:rsidRPr="00747FD1" w:rsidRDefault="00C22A9C">
      <w:pPr>
        <w:spacing w:line="24" w:lineRule="exact"/>
        <w:rPr>
          <w:rFonts w:asciiTheme="minorHAnsi" w:hAnsiTheme="minorHAnsi" w:cstheme="minorHAnsi"/>
          <w:sz w:val="24"/>
          <w:szCs w:val="24"/>
        </w:rPr>
      </w:pPr>
    </w:p>
    <w:p w14:paraId="5BF23080" w14:textId="77777777" w:rsidR="00C22A9C" w:rsidRPr="00747FD1" w:rsidRDefault="00713574">
      <w:pPr>
        <w:ind w:left="2820"/>
        <w:rPr>
          <w:rFonts w:asciiTheme="minorHAnsi" w:hAnsiTheme="minorHAnsi" w:cstheme="minorHAnsi"/>
          <w:sz w:val="24"/>
          <w:szCs w:val="24"/>
        </w:rPr>
      </w:pPr>
      <w:r w:rsidRPr="00747FD1">
        <w:rPr>
          <w:rFonts w:asciiTheme="minorHAnsi" w:eastAsia="Calibri" w:hAnsiTheme="minorHAnsi" w:cstheme="minorHAnsi"/>
          <w:b/>
          <w:bCs/>
          <w:sz w:val="24"/>
          <w:szCs w:val="24"/>
        </w:rPr>
        <w:t>ANNUAL INVESTMENT POLICY</w:t>
      </w:r>
    </w:p>
    <w:p w14:paraId="753B824D" w14:textId="77777777" w:rsidR="00C22A9C" w:rsidRPr="00747FD1" w:rsidRDefault="00C22A9C">
      <w:pPr>
        <w:spacing w:line="200" w:lineRule="exact"/>
        <w:rPr>
          <w:rFonts w:asciiTheme="minorHAnsi" w:hAnsiTheme="minorHAnsi" w:cstheme="minorHAnsi"/>
          <w:sz w:val="24"/>
          <w:szCs w:val="24"/>
        </w:rPr>
      </w:pPr>
    </w:p>
    <w:p w14:paraId="0702C215" w14:textId="77777777" w:rsidR="00C22A9C" w:rsidRPr="00747FD1" w:rsidRDefault="00C22A9C">
      <w:pPr>
        <w:spacing w:line="200" w:lineRule="exact"/>
        <w:rPr>
          <w:rFonts w:asciiTheme="minorHAnsi" w:hAnsiTheme="minorHAnsi" w:cstheme="minorHAnsi"/>
          <w:sz w:val="24"/>
          <w:szCs w:val="24"/>
        </w:rPr>
      </w:pPr>
    </w:p>
    <w:p w14:paraId="0FDC47B8" w14:textId="77777777" w:rsidR="00C22A9C" w:rsidRPr="00747FD1" w:rsidRDefault="00C22A9C">
      <w:pPr>
        <w:spacing w:line="200" w:lineRule="exact"/>
        <w:rPr>
          <w:rFonts w:asciiTheme="minorHAnsi" w:hAnsiTheme="minorHAnsi" w:cstheme="minorHAnsi"/>
          <w:sz w:val="24"/>
          <w:szCs w:val="24"/>
        </w:rPr>
      </w:pPr>
    </w:p>
    <w:p w14:paraId="10B81824" w14:textId="77777777" w:rsidR="00C22A9C" w:rsidRPr="00747FD1" w:rsidRDefault="00C22A9C">
      <w:pPr>
        <w:spacing w:line="207" w:lineRule="exact"/>
        <w:rPr>
          <w:rFonts w:asciiTheme="minorHAnsi" w:hAnsiTheme="minorHAnsi" w:cstheme="minorHAnsi"/>
          <w:sz w:val="24"/>
          <w:szCs w:val="24"/>
        </w:rPr>
      </w:pPr>
    </w:p>
    <w:p w14:paraId="0182DCB2"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INTRODUCTION</w:t>
      </w:r>
    </w:p>
    <w:p w14:paraId="1459544F" w14:textId="77777777" w:rsidR="00C22A9C" w:rsidRPr="00747FD1" w:rsidRDefault="00C22A9C">
      <w:pPr>
        <w:spacing w:line="326" w:lineRule="exact"/>
        <w:rPr>
          <w:rFonts w:asciiTheme="minorHAnsi" w:hAnsiTheme="minorHAnsi" w:cstheme="minorHAnsi"/>
          <w:sz w:val="24"/>
          <w:szCs w:val="24"/>
        </w:rPr>
      </w:pPr>
    </w:p>
    <w:p w14:paraId="420424A8" w14:textId="77777777" w:rsidR="00C22A9C" w:rsidRPr="00747FD1" w:rsidRDefault="00713574">
      <w:pPr>
        <w:spacing w:line="241" w:lineRule="auto"/>
        <w:ind w:right="744"/>
        <w:rPr>
          <w:rFonts w:asciiTheme="minorHAnsi" w:hAnsiTheme="minorHAnsi" w:cstheme="minorHAnsi"/>
          <w:sz w:val="24"/>
          <w:szCs w:val="24"/>
        </w:rPr>
      </w:pPr>
      <w:r w:rsidRPr="00747FD1">
        <w:rPr>
          <w:rFonts w:asciiTheme="minorHAnsi" w:eastAsia="Calibri" w:hAnsiTheme="minorHAnsi" w:cstheme="minorHAnsi"/>
          <w:sz w:val="24"/>
          <w:szCs w:val="24"/>
        </w:rPr>
        <w:t xml:space="preserve">Uppingham Town Council (UTC) recognises the importance of investing any surplus funds wisely, minimising any risk involved and maximising any returns that may be obtained. With in excess of £400,000 in bank accounts at the beginning of the </w:t>
      </w:r>
      <w:proofErr w:type="gramStart"/>
      <w:r w:rsidRPr="00747FD1">
        <w:rPr>
          <w:rFonts w:asciiTheme="minorHAnsi" w:eastAsia="Calibri" w:hAnsiTheme="minorHAnsi" w:cstheme="minorHAnsi"/>
          <w:sz w:val="24"/>
          <w:szCs w:val="24"/>
        </w:rPr>
        <w:t>2021/22 year</w:t>
      </w:r>
      <w:proofErr w:type="gramEnd"/>
      <w:r w:rsidRPr="00747FD1">
        <w:rPr>
          <w:rFonts w:asciiTheme="minorHAnsi" w:eastAsia="Calibri" w:hAnsiTheme="minorHAnsi" w:cstheme="minorHAnsi"/>
          <w:sz w:val="24"/>
          <w:szCs w:val="24"/>
        </w:rPr>
        <w:t>, UTC needs to have a clear strategy for managing the money.</w:t>
      </w:r>
    </w:p>
    <w:p w14:paraId="33FF0AB9" w14:textId="77777777" w:rsidR="00C22A9C" w:rsidRPr="00747FD1" w:rsidRDefault="00C22A9C">
      <w:pPr>
        <w:spacing w:line="327" w:lineRule="exact"/>
        <w:rPr>
          <w:rFonts w:asciiTheme="minorHAnsi" w:hAnsiTheme="minorHAnsi" w:cstheme="minorHAnsi"/>
          <w:sz w:val="24"/>
          <w:szCs w:val="24"/>
        </w:rPr>
      </w:pPr>
    </w:p>
    <w:p w14:paraId="5A4B3A84" w14:textId="77777777" w:rsidR="00C22A9C" w:rsidRPr="00747FD1" w:rsidRDefault="00713574">
      <w:pPr>
        <w:spacing w:line="225" w:lineRule="auto"/>
        <w:ind w:right="524"/>
        <w:rPr>
          <w:rFonts w:asciiTheme="minorHAnsi" w:hAnsiTheme="minorHAnsi" w:cstheme="minorHAnsi"/>
          <w:sz w:val="24"/>
          <w:szCs w:val="24"/>
        </w:rPr>
      </w:pPr>
      <w:r w:rsidRPr="00747FD1">
        <w:rPr>
          <w:rFonts w:asciiTheme="minorHAnsi" w:eastAsia="Calibri" w:hAnsiTheme="minorHAnsi" w:cstheme="minorHAnsi"/>
          <w:sz w:val="24"/>
          <w:szCs w:val="24"/>
        </w:rPr>
        <w:t>This strategy complies with the requirements of Section 15(1)(a) of the Local Government Act 2003, which came into effect in 2010.</w:t>
      </w:r>
    </w:p>
    <w:p w14:paraId="1310B598" w14:textId="77777777" w:rsidR="00C22A9C" w:rsidRPr="00747FD1" w:rsidRDefault="00C22A9C">
      <w:pPr>
        <w:spacing w:line="200" w:lineRule="exact"/>
        <w:rPr>
          <w:rFonts w:asciiTheme="minorHAnsi" w:hAnsiTheme="minorHAnsi" w:cstheme="minorHAnsi"/>
          <w:sz w:val="24"/>
          <w:szCs w:val="24"/>
        </w:rPr>
      </w:pPr>
    </w:p>
    <w:p w14:paraId="03134151" w14:textId="77777777" w:rsidR="00C22A9C" w:rsidRPr="00747FD1" w:rsidRDefault="00C22A9C">
      <w:pPr>
        <w:spacing w:line="342" w:lineRule="exact"/>
        <w:rPr>
          <w:rFonts w:asciiTheme="minorHAnsi" w:hAnsiTheme="minorHAnsi" w:cstheme="minorHAnsi"/>
          <w:sz w:val="24"/>
          <w:szCs w:val="24"/>
        </w:rPr>
      </w:pPr>
    </w:p>
    <w:p w14:paraId="14BD83A4"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TYPES OF INVESTMENT</w:t>
      </w:r>
    </w:p>
    <w:p w14:paraId="6F420C49"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 xml:space="preserve">Investments will only be of a specified or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nature, as defined as below.</w:t>
      </w:r>
    </w:p>
    <w:p w14:paraId="53DE39FD" w14:textId="77777777" w:rsidR="00C22A9C" w:rsidRPr="00747FD1" w:rsidRDefault="00C22A9C">
      <w:pPr>
        <w:spacing w:line="64" w:lineRule="exact"/>
        <w:rPr>
          <w:rFonts w:asciiTheme="minorHAnsi" w:hAnsiTheme="minorHAnsi" w:cstheme="minorHAnsi"/>
          <w:sz w:val="24"/>
          <w:szCs w:val="24"/>
        </w:rPr>
      </w:pPr>
    </w:p>
    <w:p w14:paraId="0F63874A" w14:textId="77777777" w:rsidR="00C22A9C" w:rsidRPr="00747FD1" w:rsidRDefault="00713574">
      <w:pPr>
        <w:spacing w:line="225" w:lineRule="auto"/>
        <w:ind w:right="1104"/>
        <w:rPr>
          <w:rFonts w:asciiTheme="minorHAnsi" w:hAnsiTheme="minorHAnsi" w:cstheme="minorHAnsi"/>
          <w:sz w:val="24"/>
          <w:szCs w:val="24"/>
        </w:rPr>
      </w:pPr>
      <w:r w:rsidRPr="00747FD1">
        <w:rPr>
          <w:rFonts w:asciiTheme="minorHAnsi" w:eastAsia="Calibri" w:hAnsiTheme="minorHAnsi" w:cstheme="minorHAnsi"/>
          <w:sz w:val="24"/>
          <w:szCs w:val="24"/>
        </w:rPr>
        <w:t xml:space="preserve">Non specified investments, such as investment in money markets, </w:t>
      </w:r>
      <w:proofErr w:type="gramStart"/>
      <w:r w:rsidRPr="00747FD1">
        <w:rPr>
          <w:rFonts w:asciiTheme="minorHAnsi" w:eastAsia="Calibri" w:hAnsiTheme="minorHAnsi" w:cstheme="minorHAnsi"/>
          <w:sz w:val="24"/>
          <w:szCs w:val="24"/>
        </w:rPr>
        <w:t>stocks</w:t>
      </w:r>
      <w:proofErr w:type="gramEnd"/>
      <w:r w:rsidRPr="00747FD1">
        <w:rPr>
          <w:rFonts w:asciiTheme="minorHAnsi" w:eastAsia="Calibri" w:hAnsiTheme="minorHAnsi" w:cstheme="minorHAnsi"/>
          <w:sz w:val="24"/>
          <w:szCs w:val="24"/>
        </w:rPr>
        <w:t xml:space="preserve"> and shares, should not be considered.</w:t>
      </w:r>
    </w:p>
    <w:p w14:paraId="7849D654" w14:textId="77777777" w:rsidR="00C22A9C" w:rsidRPr="00747FD1" w:rsidRDefault="00C22A9C">
      <w:pPr>
        <w:spacing w:line="281" w:lineRule="exact"/>
        <w:rPr>
          <w:rFonts w:asciiTheme="minorHAnsi" w:hAnsiTheme="minorHAnsi" w:cstheme="minorHAnsi"/>
          <w:sz w:val="24"/>
          <w:szCs w:val="24"/>
        </w:rPr>
      </w:pPr>
    </w:p>
    <w:p w14:paraId="43B05A6A"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Specified Investment:</w:t>
      </w:r>
    </w:p>
    <w:p w14:paraId="5F895EC3" w14:textId="77777777" w:rsidR="00C22A9C" w:rsidRPr="00747FD1" w:rsidRDefault="00C22A9C">
      <w:pPr>
        <w:spacing w:line="64" w:lineRule="exact"/>
        <w:rPr>
          <w:rFonts w:asciiTheme="minorHAnsi" w:hAnsiTheme="minorHAnsi" w:cstheme="minorHAnsi"/>
          <w:sz w:val="24"/>
          <w:szCs w:val="24"/>
        </w:rPr>
      </w:pPr>
    </w:p>
    <w:p w14:paraId="340538E8" w14:textId="77777777" w:rsidR="00C22A9C" w:rsidRPr="00747FD1" w:rsidRDefault="00713574">
      <w:pPr>
        <w:numPr>
          <w:ilvl w:val="0"/>
          <w:numId w:val="1"/>
        </w:numPr>
        <w:tabs>
          <w:tab w:val="left" w:pos="380"/>
        </w:tabs>
        <w:spacing w:line="217" w:lineRule="auto"/>
        <w:ind w:left="380" w:right="1204"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investment is denominated in sterling and any payments or repayments in respect of the investment are payable only in sterling.</w:t>
      </w:r>
    </w:p>
    <w:p w14:paraId="4764DC7F" w14:textId="77777777" w:rsidR="00C22A9C" w:rsidRPr="00747FD1" w:rsidRDefault="00C22A9C">
      <w:pPr>
        <w:spacing w:line="82" w:lineRule="exact"/>
        <w:rPr>
          <w:rFonts w:asciiTheme="minorHAnsi" w:eastAsia="Calibri" w:hAnsiTheme="minorHAnsi" w:cstheme="minorHAnsi"/>
          <w:sz w:val="24"/>
          <w:szCs w:val="24"/>
        </w:rPr>
      </w:pPr>
    </w:p>
    <w:p w14:paraId="036BC12B" w14:textId="77777777" w:rsidR="00C22A9C" w:rsidRPr="00747FD1" w:rsidRDefault="00713574">
      <w:pPr>
        <w:numPr>
          <w:ilvl w:val="0"/>
          <w:numId w:val="1"/>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investment is due to be repaid in less than 12 months after the date it was made.</w:t>
      </w:r>
    </w:p>
    <w:p w14:paraId="57DE379B" w14:textId="77777777" w:rsidR="00C22A9C" w:rsidRPr="00747FD1" w:rsidRDefault="00C22A9C">
      <w:pPr>
        <w:spacing w:line="128" w:lineRule="exact"/>
        <w:rPr>
          <w:rFonts w:asciiTheme="minorHAnsi" w:eastAsia="Calibri" w:hAnsiTheme="minorHAnsi" w:cstheme="minorHAnsi"/>
          <w:sz w:val="24"/>
          <w:szCs w:val="24"/>
        </w:rPr>
      </w:pPr>
    </w:p>
    <w:p w14:paraId="03081CDD" w14:textId="77777777" w:rsidR="00C22A9C" w:rsidRPr="00747FD1" w:rsidRDefault="00713574">
      <w:pPr>
        <w:numPr>
          <w:ilvl w:val="0"/>
          <w:numId w:val="1"/>
        </w:numPr>
        <w:tabs>
          <w:tab w:val="left" w:pos="380"/>
        </w:tabs>
        <w:spacing w:line="236" w:lineRule="auto"/>
        <w:ind w:left="380" w:right="1244"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The making of the investment is not defined as capital expenditure by virtue of regulation 25(1)(d) of the Local Authorities (Capital and Finance </w:t>
      </w:r>
      <w:proofErr w:type="gramStart"/>
      <w:r w:rsidRPr="00747FD1">
        <w:rPr>
          <w:rFonts w:asciiTheme="minorHAnsi" w:eastAsia="Calibri" w:hAnsiTheme="minorHAnsi" w:cstheme="minorHAnsi"/>
          <w:sz w:val="24"/>
          <w:szCs w:val="24"/>
        </w:rPr>
        <w:t>Accounting)(</w:t>
      </w:r>
      <w:proofErr w:type="gramEnd"/>
      <w:r w:rsidRPr="00747FD1">
        <w:rPr>
          <w:rFonts w:asciiTheme="minorHAnsi" w:eastAsia="Calibri" w:hAnsiTheme="minorHAnsi" w:cstheme="minorHAnsi"/>
          <w:sz w:val="24"/>
          <w:szCs w:val="24"/>
        </w:rPr>
        <w:t>England) Regulations 2003 (SI3146 as amended).</w:t>
      </w:r>
    </w:p>
    <w:p w14:paraId="6947FECF" w14:textId="77777777" w:rsidR="00C22A9C" w:rsidRPr="00747FD1" w:rsidRDefault="00C22A9C">
      <w:pPr>
        <w:spacing w:line="279" w:lineRule="exact"/>
        <w:rPr>
          <w:rFonts w:asciiTheme="minorHAnsi" w:hAnsiTheme="minorHAnsi" w:cstheme="minorHAnsi"/>
          <w:sz w:val="24"/>
          <w:szCs w:val="24"/>
        </w:rPr>
      </w:pPr>
    </w:p>
    <w:p w14:paraId="0A0731B5"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Long Term Investment</w:t>
      </w:r>
    </w:p>
    <w:p w14:paraId="510AA373" w14:textId="77777777" w:rsidR="00C22A9C" w:rsidRPr="00747FD1" w:rsidRDefault="00C22A9C">
      <w:pPr>
        <w:spacing w:line="17" w:lineRule="exact"/>
        <w:rPr>
          <w:rFonts w:asciiTheme="minorHAnsi" w:hAnsiTheme="minorHAnsi" w:cstheme="minorHAnsi"/>
          <w:sz w:val="24"/>
          <w:szCs w:val="24"/>
        </w:rPr>
      </w:pPr>
    </w:p>
    <w:p w14:paraId="202D638C"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Long term investments are those due to be repaid more than 12 months after the investment was made.</w:t>
      </w:r>
    </w:p>
    <w:p w14:paraId="0850B380" w14:textId="77777777" w:rsidR="00C22A9C" w:rsidRPr="00747FD1" w:rsidRDefault="00C22A9C">
      <w:pPr>
        <w:spacing w:line="200" w:lineRule="exact"/>
        <w:rPr>
          <w:rFonts w:asciiTheme="minorHAnsi" w:hAnsiTheme="minorHAnsi" w:cstheme="minorHAnsi"/>
          <w:sz w:val="24"/>
          <w:szCs w:val="24"/>
        </w:rPr>
      </w:pPr>
    </w:p>
    <w:p w14:paraId="5A5D08BB"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BANKING POLICY</w:t>
      </w:r>
    </w:p>
    <w:p w14:paraId="272FE4A7" w14:textId="77777777" w:rsidR="00C22A9C" w:rsidRPr="00747FD1" w:rsidRDefault="00713574">
      <w:pPr>
        <w:spacing w:line="225" w:lineRule="auto"/>
        <w:ind w:right="984"/>
        <w:rPr>
          <w:rFonts w:asciiTheme="minorHAnsi" w:hAnsiTheme="minorHAnsi" w:cstheme="minorHAnsi"/>
          <w:sz w:val="24"/>
          <w:szCs w:val="24"/>
        </w:rPr>
      </w:pPr>
      <w:r w:rsidRPr="00747FD1">
        <w:rPr>
          <w:rFonts w:asciiTheme="minorHAnsi" w:eastAsia="Calibri" w:hAnsiTheme="minorHAnsi" w:cstheme="minorHAnsi"/>
          <w:sz w:val="24"/>
          <w:szCs w:val="24"/>
        </w:rPr>
        <w:t>Funds can be invested with any UK bank, building society or other institution providing the following rules are observed:</w:t>
      </w:r>
    </w:p>
    <w:p w14:paraId="736392F0" w14:textId="77777777" w:rsidR="00C22A9C" w:rsidRPr="00747FD1" w:rsidRDefault="00C22A9C">
      <w:pPr>
        <w:spacing w:line="280" w:lineRule="exact"/>
        <w:rPr>
          <w:rFonts w:asciiTheme="minorHAnsi" w:hAnsiTheme="minorHAnsi" w:cstheme="minorHAnsi"/>
          <w:sz w:val="24"/>
          <w:szCs w:val="24"/>
        </w:rPr>
      </w:pPr>
    </w:p>
    <w:p w14:paraId="4E08EAD6"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The institution should be a member of the FSCS Protection Scheme</w:t>
      </w:r>
    </w:p>
    <w:p w14:paraId="4725F214" w14:textId="77777777" w:rsidR="00C22A9C" w:rsidRPr="00747FD1" w:rsidRDefault="00C22A9C">
      <w:pPr>
        <w:spacing w:line="17" w:lineRule="exact"/>
        <w:rPr>
          <w:rFonts w:asciiTheme="minorHAnsi" w:eastAsia="Calibri" w:hAnsiTheme="minorHAnsi" w:cstheme="minorHAnsi"/>
          <w:sz w:val="24"/>
          <w:szCs w:val="24"/>
        </w:rPr>
      </w:pPr>
    </w:p>
    <w:p w14:paraId="15C4B70B"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Investments with </w:t>
      </w:r>
      <w:proofErr w:type="gramStart"/>
      <w:r w:rsidRPr="00747FD1">
        <w:rPr>
          <w:rFonts w:asciiTheme="minorHAnsi" w:eastAsia="Calibri" w:hAnsiTheme="minorHAnsi" w:cstheme="minorHAnsi"/>
          <w:sz w:val="24"/>
          <w:szCs w:val="24"/>
        </w:rPr>
        <w:t>any one</w:t>
      </w:r>
      <w:proofErr w:type="gramEnd"/>
      <w:r w:rsidRPr="00747FD1">
        <w:rPr>
          <w:rFonts w:asciiTheme="minorHAnsi" w:eastAsia="Calibri" w:hAnsiTheme="minorHAnsi" w:cstheme="minorHAnsi"/>
          <w:sz w:val="24"/>
          <w:szCs w:val="24"/>
        </w:rPr>
        <w:t xml:space="preserve"> banking entity should not exceed £85,000.</w:t>
      </w:r>
    </w:p>
    <w:p w14:paraId="36AEE94E" w14:textId="77777777" w:rsidR="00C22A9C" w:rsidRPr="00747FD1" w:rsidRDefault="00C22A9C">
      <w:pPr>
        <w:spacing w:line="17" w:lineRule="exact"/>
        <w:rPr>
          <w:rFonts w:asciiTheme="minorHAnsi" w:eastAsia="Calibri" w:hAnsiTheme="minorHAnsi" w:cstheme="minorHAnsi"/>
          <w:sz w:val="24"/>
          <w:szCs w:val="24"/>
        </w:rPr>
      </w:pPr>
    </w:p>
    <w:p w14:paraId="6F3913AC"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Investments, and any associated interest or dividends, will be in sterling.</w:t>
      </w:r>
    </w:p>
    <w:p w14:paraId="7BB4B27B" w14:textId="77777777" w:rsidR="00C22A9C" w:rsidRPr="00747FD1" w:rsidRDefault="00C22A9C">
      <w:pPr>
        <w:spacing w:line="17" w:lineRule="exact"/>
        <w:rPr>
          <w:rFonts w:asciiTheme="minorHAnsi" w:eastAsia="Calibri" w:hAnsiTheme="minorHAnsi" w:cstheme="minorHAnsi"/>
          <w:sz w:val="24"/>
          <w:szCs w:val="24"/>
        </w:rPr>
      </w:pPr>
    </w:p>
    <w:p w14:paraId="5E300268"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Any penalties for early withdrawal should not affect the capital sum invested.</w:t>
      </w:r>
    </w:p>
    <w:p w14:paraId="72D93502" w14:textId="77777777" w:rsidR="00C22A9C" w:rsidRPr="00747FD1" w:rsidRDefault="00C22A9C">
      <w:pPr>
        <w:spacing w:line="17" w:lineRule="exact"/>
        <w:rPr>
          <w:rFonts w:asciiTheme="minorHAnsi" w:eastAsia="Calibri" w:hAnsiTheme="minorHAnsi" w:cstheme="minorHAnsi"/>
          <w:sz w:val="24"/>
          <w:szCs w:val="24"/>
        </w:rPr>
      </w:pPr>
    </w:p>
    <w:p w14:paraId="11D376C7" w14:textId="77777777" w:rsidR="00C22A9C" w:rsidRPr="00747FD1" w:rsidRDefault="00713574">
      <w:pPr>
        <w:numPr>
          <w:ilvl w:val="0"/>
          <w:numId w:val="2"/>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No investment should put at risk the capital sum invested.</w:t>
      </w:r>
    </w:p>
    <w:p w14:paraId="78807D3E" w14:textId="77777777" w:rsidR="00C22A9C" w:rsidRPr="00747FD1" w:rsidRDefault="00C22A9C">
      <w:pPr>
        <w:spacing w:line="279" w:lineRule="exact"/>
        <w:rPr>
          <w:rFonts w:asciiTheme="minorHAnsi" w:hAnsiTheme="minorHAnsi" w:cstheme="minorHAnsi"/>
          <w:sz w:val="24"/>
          <w:szCs w:val="24"/>
        </w:rPr>
      </w:pPr>
    </w:p>
    <w:p w14:paraId="7451A244"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Investments may also be made with the United Kingdom Government or other local authorities.</w:t>
      </w:r>
    </w:p>
    <w:p w14:paraId="7ACAF686" w14:textId="77777777" w:rsidR="00C22A9C" w:rsidRPr="00747FD1" w:rsidRDefault="00C22A9C">
      <w:pPr>
        <w:spacing w:line="326" w:lineRule="exact"/>
        <w:rPr>
          <w:rFonts w:asciiTheme="minorHAnsi" w:hAnsiTheme="minorHAnsi" w:cstheme="minorHAnsi"/>
          <w:sz w:val="24"/>
          <w:szCs w:val="24"/>
        </w:rPr>
      </w:pPr>
    </w:p>
    <w:p w14:paraId="57605B34" w14:textId="3064A4CA" w:rsidR="00C22A9C" w:rsidRPr="00747FD1" w:rsidRDefault="00713574">
      <w:pPr>
        <w:spacing w:line="225" w:lineRule="auto"/>
        <w:ind w:right="624"/>
        <w:rPr>
          <w:rFonts w:asciiTheme="minorHAnsi" w:hAnsiTheme="minorHAnsi" w:cstheme="minorHAnsi"/>
          <w:sz w:val="24"/>
          <w:szCs w:val="24"/>
        </w:rPr>
      </w:pPr>
      <w:r w:rsidRPr="00747FD1">
        <w:rPr>
          <w:rFonts w:asciiTheme="minorHAnsi" w:eastAsia="Calibri" w:hAnsiTheme="minorHAnsi" w:cstheme="minorHAnsi"/>
          <w:sz w:val="24"/>
          <w:szCs w:val="24"/>
        </w:rPr>
        <w:t>The Department for Levelling Up, Housing and Communities maintains that the borrowing of monies purely to invest or lend to make a return, is unlawful.</w:t>
      </w:r>
    </w:p>
    <w:p w14:paraId="2697C2B8" w14:textId="77777777" w:rsidR="00C22A9C" w:rsidRPr="00747FD1" w:rsidRDefault="00C22A9C">
      <w:pPr>
        <w:rPr>
          <w:rFonts w:asciiTheme="minorHAnsi" w:hAnsiTheme="minorHAnsi" w:cstheme="minorHAnsi"/>
          <w:sz w:val="24"/>
          <w:szCs w:val="24"/>
        </w:rPr>
        <w:sectPr w:rsidR="00C22A9C" w:rsidRPr="00747FD1">
          <w:footerReference w:type="default" r:id="rId7"/>
          <w:pgSz w:w="11900" w:h="16836"/>
          <w:pgMar w:top="1096" w:right="1440" w:bottom="787" w:left="1340" w:header="0" w:footer="0" w:gutter="0"/>
          <w:cols w:space="720" w:equalWidth="0">
            <w:col w:w="9124"/>
          </w:cols>
        </w:sectPr>
      </w:pPr>
    </w:p>
    <w:p w14:paraId="2715C4BE" w14:textId="77777777" w:rsidR="00C22A9C" w:rsidRPr="00747FD1" w:rsidRDefault="00C22A9C">
      <w:pPr>
        <w:spacing w:line="200" w:lineRule="exact"/>
        <w:rPr>
          <w:rFonts w:asciiTheme="minorHAnsi" w:hAnsiTheme="minorHAnsi" w:cstheme="minorHAnsi"/>
          <w:sz w:val="24"/>
          <w:szCs w:val="24"/>
        </w:rPr>
      </w:pPr>
    </w:p>
    <w:p w14:paraId="092973D6" w14:textId="77777777" w:rsidR="00C22A9C" w:rsidRPr="00747FD1" w:rsidRDefault="00C22A9C">
      <w:pPr>
        <w:spacing w:line="200" w:lineRule="exact"/>
        <w:rPr>
          <w:rFonts w:asciiTheme="minorHAnsi" w:hAnsiTheme="minorHAnsi" w:cstheme="minorHAnsi"/>
          <w:sz w:val="24"/>
          <w:szCs w:val="24"/>
        </w:rPr>
      </w:pPr>
    </w:p>
    <w:p w14:paraId="33C8F26A" w14:textId="77777777" w:rsidR="00C22A9C" w:rsidRPr="00747FD1" w:rsidRDefault="00713574">
      <w:pPr>
        <w:ind w:left="7760"/>
        <w:rPr>
          <w:rFonts w:asciiTheme="minorHAnsi" w:hAnsiTheme="minorHAnsi" w:cstheme="minorHAnsi"/>
          <w:sz w:val="24"/>
          <w:szCs w:val="24"/>
        </w:rPr>
      </w:pPr>
      <w:r w:rsidRPr="00747FD1">
        <w:rPr>
          <w:rFonts w:asciiTheme="minorHAnsi" w:eastAsia="Calibri" w:hAnsiTheme="minorHAnsi" w:cstheme="minorHAnsi"/>
          <w:sz w:val="24"/>
          <w:szCs w:val="24"/>
        </w:rPr>
        <w:t>Page 1 of 2</w:t>
      </w:r>
    </w:p>
    <w:p w14:paraId="3F08A466" w14:textId="77777777" w:rsidR="00C22A9C" w:rsidRPr="00747FD1" w:rsidRDefault="00C22A9C">
      <w:pPr>
        <w:rPr>
          <w:rFonts w:asciiTheme="minorHAnsi" w:hAnsiTheme="minorHAnsi" w:cstheme="minorHAnsi"/>
          <w:sz w:val="24"/>
          <w:szCs w:val="24"/>
        </w:rPr>
        <w:sectPr w:rsidR="00C22A9C" w:rsidRPr="00747FD1">
          <w:type w:val="continuous"/>
          <w:pgSz w:w="11900" w:h="16836"/>
          <w:pgMar w:top="1096" w:right="1440" w:bottom="787" w:left="1340" w:header="0" w:footer="0" w:gutter="0"/>
          <w:cols w:space="720" w:equalWidth="0">
            <w:col w:w="9124"/>
          </w:cols>
        </w:sectPr>
      </w:pPr>
    </w:p>
    <w:p w14:paraId="4997B95E" w14:textId="77777777" w:rsidR="00C22A9C" w:rsidRPr="00747FD1" w:rsidRDefault="00713574">
      <w:pPr>
        <w:rPr>
          <w:rFonts w:asciiTheme="minorHAnsi" w:hAnsiTheme="minorHAnsi" w:cstheme="minorHAnsi"/>
          <w:sz w:val="24"/>
          <w:szCs w:val="24"/>
        </w:rPr>
      </w:pPr>
      <w:bookmarkStart w:id="0" w:name="page2"/>
      <w:bookmarkEnd w:id="0"/>
      <w:r w:rsidRPr="00747FD1">
        <w:rPr>
          <w:rFonts w:asciiTheme="minorHAnsi" w:eastAsia="Calibri" w:hAnsiTheme="minorHAnsi" w:cstheme="minorHAnsi"/>
          <w:b/>
          <w:bCs/>
          <w:sz w:val="24"/>
          <w:szCs w:val="24"/>
        </w:rPr>
        <w:lastRenderedPageBreak/>
        <w:t>THE INVESTMENT STRATEGY</w:t>
      </w:r>
    </w:p>
    <w:p w14:paraId="5CAF1C98" w14:textId="77777777" w:rsidR="00C22A9C" w:rsidRPr="00747FD1" w:rsidRDefault="00C22A9C">
      <w:pPr>
        <w:spacing w:line="326" w:lineRule="exact"/>
        <w:rPr>
          <w:rFonts w:asciiTheme="minorHAnsi" w:hAnsiTheme="minorHAnsi" w:cstheme="minorHAnsi"/>
          <w:sz w:val="24"/>
          <w:szCs w:val="24"/>
        </w:rPr>
      </w:pPr>
    </w:p>
    <w:p w14:paraId="44E8DE11" w14:textId="77777777" w:rsidR="00C22A9C" w:rsidRPr="00747FD1" w:rsidRDefault="00713574">
      <w:pPr>
        <w:spacing w:line="225" w:lineRule="auto"/>
        <w:ind w:right="1084"/>
        <w:rPr>
          <w:rFonts w:asciiTheme="minorHAnsi" w:hAnsiTheme="minorHAnsi" w:cstheme="minorHAnsi"/>
          <w:sz w:val="24"/>
          <w:szCs w:val="24"/>
        </w:rPr>
      </w:pPr>
      <w:r w:rsidRPr="00747FD1">
        <w:rPr>
          <w:rFonts w:asciiTheme="minorHAnsi" w:eastAsia="Calibri" w:hAnsiTheme="minorHAnsi" w:cstheme="minorHAnsi"/>
          <w:sz w:val="24"/>
          <w:szCs w:val="24"/>
        </w:rPr>
        <w:t xml:space="preserve">Before the start of each new financial year, an investment strategy should be prepared. This should </w:t>
      </w:r>
      <w:proofErr w:type="gramStart"/>
      <w:r w:rsidRPr="00747FD1">
        <w:rPr>
          <w:rFonts w:asciiTheme="minorHAnsi" w:eastAsia="Calibri" w:hAnsiTheme="minorHAnsi" w:cstheme="minorHAnsi"/>
          <w:sz w:val="24"/>
          <w:szCs w:val="24"/>
        </w:rPr>
        <w:t>take into account</w:t>
      </w:r>
      <w:proofErr w:type="gramEnd"/>
      <w:r w:rsidRPr="00747FD1">
        <w:rPr>
          <w:rFonts w:asciiTheme="minorHAnsi" w:eastAsia="Calibri" w:hAnsiTheme="minorHAnsi" w:cstheme="minorHAnsi"/>
          <w:sz w:val="24"/>
          <w:szCs w:val="24"/>
        </w:rPr>
        <w:t xml:space="preserve"> the following considerations:</w:t>
      </w:r>
    </w:p>
    <w:p w14:paraId="349C0CC4" w14:textId="77777777" w:rsidR="00C22A9C" w:rsidRPr="00747FD1" w:rsidRDefault="00C22A9C">
      <w:pPr>
        <w:spacing w:line="280" w:lineRule="exact"/>
        <w:rPr>
          <w:rFonts w:asciiTheme="minorHAnsi" w:hAnsiTheme="minorHAnsi" w:cstheme="minorHAnsi"/>
          <w:sz w:val="24"/>
          <w:szCs w:val="24"/>
        </w:rPr>
      </w:pPr>
    </w:p>
    <w:p w14:paraId="61A285D4" w14:textId="77777777" w:rsidR="00C22A9C" w:rsidRPr="00747FD1" w:rsidRDefault="00713574">
      <w:pPr>
        <w:numPr>
          <w:ilvl w:val="0"/>
          <w:numId w:val="3"/>
        </w:numPr>
        <w:tabs>
          <w:tab w:val="left" w:pos="380"/>
        </w:tabs>
        <w:ind w:left="380"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The likely rate of return which is receivable for specified and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investments.</w:t>
      </w:r>
    </w:p>
    <w:p w14:paraId="32F512EC" w14:textId="77777777" w:rsidR="00C22A9C" w:rsidRPr="00747FD1" w:rsidRDefault="00C22A9C">
      <w:pPr>
        <w:spacing w:line="64" w:lineRule="exact"/>
        <w:rPr>
          <w:rFonts w:asciiTheme="minorHAnsi" w:eastAsia="Calibri" w:hAnsiTheme="minorHAnsi" w:cstheme="minorHAnsi"/>
          <w:sz w:val="24"/>
          <w:szCs w:val="24"/>
        </w:rPr>
      </w:pPr>
    </w:p>
    <w:p w14:paraId="7EE3B9B4" w14:textId="77777777" w:rsidR="00C22A9C" w:rsidRPr="00747FD1" w:rsidRDefault="00713574">
      <w:pPr>
        <w:spacing w:line="236" w:lineRule="auto"/>
        <w:ind w:left="380" w:right="584"/>
        <w:jc w:val="both"/>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An investment is defined as a transaction which relies upon the power in Sect 12 of the 2003 Act and is recorded in the balance sheet under the heading of investments within current assets or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Investments.</w:t>
      </w:r>
    </w:p>
    <w:p w14:paraId="015823A8" w14:textId="77777777" w:rsidR="00C22A9C" w:rsidRPr="00747FD1" w:rsidRDefault="00C22A9C">
      <w:pPr>
        <w:spacing w:line="326" w:lineRule="exact"/>
        <w:rPr>
          <w:rFonts w:asciiTheme="minorHAnsi" w:eastAsia="Calibri" w:hAnsiTheme="minorHAnsi" w:cstheme="minorHAnsi"/>
          <w:sz w:val="24"/>
          <w:szCs w:val="24"/>
        </w:rPr>
      </w:pPr>
    </w:p>
    <w:p w14:paraId="2D5CA1D9" w14:textId="77777777" w:rsidR="00C22A9C" w:rsidRPr="00747FD1" w:rsidRDefault="00713574">
      <w:pPr>
        <w:numPr>
          <w:ilvl w:val="0"/>
          <w:numId w:val="3"/>
        </w:numPr>
        <w:tabs>
          <w:tab w:val="left" w:pos="380"/>
        </w:tabs>
        <w:spacing w:line="236" w:lineRule="auto"/>
        <w:ind w:left="380" w:right="844" w:hanging="371"/>
        <w:rPr>
          <w:rFonts w:asciiTheme="minorHAnsi" w:eastAsia="Calibri" w:hAnsiTheme="minorHAnsi" w:cstheme="minorHAnsi"/>
          <w:sz w:val="24"/>
          <w:szCs w:val="24"/>
        </w:rPr>
      </w:pPr>
      <w:r w:rsidRPr="00747FD1">
        <w:rPr>
          <w:rFonts w:asciiTheme="minorHAnsi" w:eastAsia="Calibri" w:hAnsiTheme="minorHAnsi" w:cstheme="minorHAnsi"/>
          <w:sz w:val="24"/>
          <w:szCs w:val="24"/>
        </w:rPr>
        <w:t xml:space="preserve">The amounts of liquid funds available and their eligibility for specified and </w:t>
      </w:r>
      <w:proofErr w:type="gramStart"/>
      <w:r w:rsidRPr="00747FD1">
        <w:rPr>
          <w:rFonts w:asciiTheme="minorHAnsi" w:eastAsia="Calibri" w:hAnsiTheme="minorHAnsi" w:cstheme="minorHAnsi"/>
          <w:sz w:val="24"/>
          <w:szCs w:val="24"/>
        </w:rPr>
        <w:t>long term</w:t>
      </w:r>
      <w:proofErr w:type="gramEnd"/>
      <w:r w:rsidRPr="00747FD1">
        <w:rPr>
          <w:rFonts w:asciiTheme="minorHAnsi" w:eastAsia="Calibri" w:hAnsiTheme="minorHAnsi" w:cstheme="minorHAnsi"/>
          <w:sz w:val="24"/>
          <w:szCs w:val="24"/>
        </w:rPr>
        <w:t xml:space="preserve"> investments. The strategy should set out procedures for determining the maximum periods for which funds may be committed.</w:t>
      </w:r>
    </w:p>
    <w:p w14:paraId="55B9D60D" w14:textId="77777777" w:rsidR="00C22A9C" w:rsidRPr="00747FD1" w:rsidRDefault="00C22A9C">
      <w:pPr>
        <w:spacing w:line="279" w:lineRule="exact"/>
        <w:rPr>
          <w:rFonts w:asciiTheme="minorHAnsi" w:hAnsiTheme="minorHAnsi" w:cstheme="minorHAnsi"/>
          <w:sz w:val="24"/>
          <w:szCs w:val="24"/>
        </w:rPr>
      </w:pPr>
    </w:p>
    <w:p w14:paraId="55559C5B" w14:textId="77777777" w:rsidR="00C22A9C" w:rsidRPr="00747FD1" w:rsidRDefault="00713574">
      <w:pPr>
        <w:ind w:left="380"/>
        <w:rPr>
          <w:rFonts w:asciiTheme="minorHAnsi" w:hAnsiTheme="minorHAnsi" w:cstheme="minorHAnsi"/>
          <w:sz w:val="24"/>
          <w:szCs w:val="24"/>
        </w:rPr>
      </w:pPr>
      <w:r w:rsidRPr="00747FD1">
        <w:rPr>
          <w:rFonts w:asciiTheme="minorHAnsi" w:eastAsia="Calibri" w:hAnsiTheme="minorHAnsi" w:cstheme="minorHAnsi"/>
          <w:sz w:val="24"/>
          <w:szCs w:val="24"/>
        </w:rPr>
        <w:t>Eligibility will vary due the nature of funds received. Typically, they may be analysed as follows:</w:t>
      </w:r>
    </w:p>
    <w:p w14:paraId="505C394E" w14:textId="77777777" w:rsidR="00C22A9C" w:rsidRPr="00747FD1" w:rsidRDefault="00C22A9C">
      <w:pPr>
        <w:spacing w:line="279" w:lineRule="exact"/>
        <w:rPr>
          <w:rFonts w:asciiTheme="minorHAnsi" w:hAnsiTheme="minorHAnsi" w:cstheme="minorHAnsi"/>
          <w:sz w:val="24"/>
          <w:szCs w:val="24"/>
        </w:rPr>
      </w:pPr>
    </w:p>
    <w:p w14:paraId="7D0F54E7" w14:textId="77777777" w:rsidR="00C22A9C" w:rsidRPr="00747FD1" w:rsidRDefault="00713574">
      <w:pPr>
        <w:tabs>
          <w:tab w:val="left" w:pos="2200"/>
        </w:tabs>
        <w:ind w:left="380"/>
        <w:rPr>
          <w:rFonts w:asciiTheme="minorHAnsi" w:hAnsiTheme="minorHAnsi" w:cstheme="minorHAnsi"/>
          <w:sz w:val="24"/>
          <w:szCs w:val="24"/>
        </w:rPr>
      </w:pPr>
      <w:r w:rsidRPr="00747FD1">
        <w:rPr>
          <w:rFonts w:asciiTheme="minorHAnsi" w:eastAsia="Calibri" w:hAnsiTheme="minorHAnsi" w:cstheme="minorHAnsi"/>
          <w:sz w:val="24"/>
          <w:szCs w:val="24"/>
        </w:rPr>
        <w:t>Precept monies</w:t>
      </w:r>
      <w:r w:rsidRPr="00747FD1">
        <w:rPr>
          <w:rFonts w:asciiTheme="minorHAnsi" w:hAnsiTheme="minorHAnsi" w:cstheme="minorHAnsi"/>
          <w:sz w:val="24"/>
          <w:szCs w:val="24"/>
        </w:rPr>
        <w:tab/>
      </w:r>
      <w:r w:rsidRPr="00747FD1">
        <w:rPr>
          <w:rFonts w:asciiTheme="minorHAnsi" w:eastAsia="Calibri" w:hAnsiTheme="minorHAnsi" w:cstheme="minorHAnsi"/>
          <w:sz w:val="24"/>
          <w:szCs w:val="24"/>
        </w:rPr>
        <w:t>Will normally be spent within the year and should not qualify for long term</w:t>
      </w:r>
    </w:p>
    <w:p w14:paraId="50390D84" w14:textId="77777777" w:rsidR="00C22A9C" w:rsidRPr="00747FD1" w:rsidRDefault="00C22A9C">
      <w:pPr>
        <w:spacing w:line="17" w:lineRule="exact"/>
        <w:rPr>
          <w:rFonts w:asciiTheme="minorHAnsi" w:hAnsiTheme="minorHAnsi" w:cstheme="minorHAnsi"/>
          <w:sz w:val="24"/>
          <w:szCs w:val="24"/>
        </w:rPr>
      </w:pPr>
    </w:p>
    <w:p w14:paraId="37C85480" w14:textId="77777777" w:rsidR="00C22A9C" w:rsidRPr="00747FD1" w:rsidRDefault="00713574">
      <w:pPr>
        <w:ind w:left="2220"/>
        <w:rPr>
          <w:rFonts w:asciiTheme="minorHAnsi" w:hAnsiTheme="minorHAnsi" w:cstheme="minorHAnsi"/>
          <w:sz w:val="24"/>
          <w:szCs w:val="24"/>
        </w:rPr>
      </w:pPr>
      <w:r w:rsidRPr="00747FD1">
        <w:rPr>
          <w:rFonts w:asciiTheme="minorHAnsi" w:eastAsia="Calibri" w:hAnsiTheme="minorHAnsi" w:cstheme="minorHAnsi"/>
          <w:sz w:val="24"/>
          <w:szCs w:val="24"/>
        </w:rPr>
        <w:t>investment.</w:t>
      </w:r>
    </w:p>
    <w:p w14:paraId="1B5E7A49" w14:textId="77777777" w:rsidR="00C22A9C" w:rsidRPr="00747FD1" w:rsidRDefault="00C22A9C">
      <w:pPr>
        <w:spacing w:line="279" w:lineRule="exact"/>
        <w:rPr>
          <w:rFonts w:asciiTheme="minorHAnsi" w:hAnsiTheme="minorHAnsi" w:cstheme="minorHAnsi"/>
          <w:sz w:val="24"/>
          <w:szCs w:val="24"/>
        </w:rPr>
      </w:pPr>
    </w:p>
    <w:p w14:paraId="1285F673" w14:textId="04B8228A" w:rsidR="00C22A9C" w:rsidRPr="00747FD1" w:rsidRDefault="00713574">
      <w:pPr>
        <w:tabs>
          <w:tab w:val="left" w:pos="2200"/>
        </w:tabs>
        <w:ind w:left="380"/>
        <w:rPr>
          <w:rFonts w:asciiTheme="minorHAnsi" w:hAnsiTheme="minorHAnsi" w:cstheme="minorHAnsi"/>
          <w:sz w:val="24"/>
          <w:szCs w:val="24"/>
        </w:rPr>
      </w:pPr>
      <w:r w:rsidRPr="00747FD1">
        <w:rPr>
          <w:rFonts w:asciiTheme="minorHAnsi" w:eastAsia="Calibri" w:hAnsiTheme="minorHAnsi" w:cstheme="minorHAnsi"/>
          <w:sz w:val="24"/>
          <w:szCs w:val="24"/>
        </w:rPr>
        <w:t>CIL Monies</w:t>
      </w:r>
      <w:r w:rsidRPr="00747FD1">
        <w:rPr>
          <w:rFonts w:asciiTheme="minorHAnsi" w:hAnsiTheme="minorHAnsi" w:cstheme="minorHAnsi"/>
          <w:sz w:val="24"/>
          <w:szCs w:val="24"/>
        </w:rPr>
        <w:tab/>
      </w:r>
      <w:r w:rsidRPr="00747FD1">
        <w:rPr>
          <w:rFonts w:asciiTheme="minorHAnsi" w:eastAsia="Calibri" w:hAnsiTheme="minorHAnsi" w:cstheme="minorHAnsi"/>
          <w:sz w:val="24"/>
          <w:szCs w:val="24"/>
        </w:rPr>
        <w:t xml:space="preserve">Can be eligible for long term </w:t>
      </w:r>
      <w:r w:rsidR="00747FD1" w:rsidRPr="00747FD1">
        <w:rPr>
          <w:rFonts w:asciiTheme="minorHAnsi" w:eastAsia="Calibri" w:hAnsiTheme="minorHAnsi" w:cstheme="minorHAnsi"/>
          <w:sz w:val="24"/>
          <w:szCs w:val="24"/>
        </w:rPr>
        <w:t>investment but</w:t>
      </w:r>
      <w:r w:rsidRPr="00747FD1">
        <w:rPr>
          <w:rFonts w:asciiTheme="minorHAnsi" w:eastAsia="Calibri" w:hAnsiTheme="minorHAnsi" w:cstheme="minorHAnsi"/>
          <w:sz w:val="24"/>
          <w:szCs w:val="24"/>
        </w:rPr>
        <w:t xml:space="preserve"> will need to be analysed by item.</w:t>
      </w:r>
    </w:p>
    <w:p w14:paraId="384C4889" w14:textId="77777777" w:rsidR="00C22A9C" w:rsidRPr="00747FD1" w:rsidRDefault="00C22A9C">
      <w:pPr>
        <w:spacing w:line="279" w:lineRule="exact"/>
        <w:rPr>
          <w:rFonts w:asciiTheme="minorHAnsi" w:hAnsiTheme="minorHAnsi" w:cstheme="minorHAnsi"/>
          <w:sz w:val="24"/>
          <w:szCs w:val="24"/>
        </w:rPr>
      </w:pPr>
    </w:p>
    <w:p w14:paraId="6187706E" w14:textId="77777777" w:rsidR="00C22A9C" w:rsidRPr="00747FD1" w:rsidRDefault="00713574">
      <w:pPr>
        <w:tabs>
          <w:tab w:val="left" w:pos="2200"/>
        </w:tabs>
        <w:ind w:left="380"/>
        <w:rPr>
          <w:rFonts w:asciiTheme="minorHAnsi" w:hAnsiTheme="minorHAnsi" w:cstheme="minorHAnsi"/>
          <w:sz w:val="24"/>
          <w:szCs w:val="24"/>
        </w:rPr>
      </w:pPr>
      <w:r w:rsidRPr="00747FD1">
        <w:rPr>
          <w:rFonts w:asciiTheme="minorHAnsi" w:eastAsia="Calibri" w:hAnsiTheme="minorHAnsi" w:cstheme="minorHAnsi"/>
          <w:sz w:val="24"/>
          <w:szCs w:val="24"/>
        </w:rPr>
        <w:t>Reserves</w:t>
      </w:r>
      <w:r w:rsidRPr="00747FD1">
        <w:rPr>
          <w:rFonts w:asciiTheme="minorHAnsi" w:hAnsiTheme="minorHAnsi" w:cstheme="minorHAnsi"/>
          <w:sz w:val="24"/>
          <w:szCs w:val="24"/>
        </w:rPr>
        <w:tab/>
      </w:r>
      <w:r w:rsidRPr="00747FD1">
        <w:rPr>
          <w:rFonts w:asciiTheme="minorHAnsi" w:eastAsia="Calibri" w:hAnsiTheme="minorHAnsi" w:cstheme="minorHAnsi"/>
          <w:sz w:val="24"/>
          <w:szCs w:val="24"/>
        </w:rPr>
        <w:t>Can be eligible for long term investment.</w:t>
      </w:r>
    </w:p>
    <w:p w14:paraId="23F122CD" w14:textId="77777777" w:rsidR="00C22A9C" w:rsidRPr="00747FD1" w:rsidRDefault="00C22A9C">
      <w:pPr>
        <w:spacing w:line="326" w:lineRule="exact"/>
        <w:rPr>
          <w:rFonts w:asciiTheme="minorHAnsi" w:hAnsiTheme="minorHAnsi" w:cstheme="minorHAnsi"/>
          <w:sz w:val="24"/>
          <w:szCs w:val="24"/>
        </w:rPr>
      </w:pPr>
    </w:p>
    <w:p w14:paraId="74D0C918" w14:textId="77777777" w:rsidR="00C22A9C" w:rsidRPr="00747FD1" w:rsidRDefault="00713574">
      <w:pPr>
        <w:spacing w:line="225" w:lineRule="auto"/>
        <w:ind w:right="1064"/>
        <w:rPr>
          <w:rFonts w:asciiTheme="minorHAnsi" w:hAnsiTheme="minorHAnsi" w:cstheme="minorHAnsi"/>
          <w:sz w:val="24"/>
          <w:szCs w:val="24"/>
        </w:rPr>
      </w:pPr>
      <w:r w:rsidRPr="00747FD1">
        <w:rPr>
          <w:rFonts w:asciiTheme="minorHAnsi" w:eastAsia="Calibri" w:hAnsiTheme="minorHAnsi" w:cstheme="minorHAnsi"/>
          <w:sz w:val="24"/>
          <w:szCs w:val="24"/>
        </w:rPr>
        <w:t>This strategy should be approved by Full Council before the year to which it relates begins. Changes can be made at any time, subject to the same process of approval by Full Council.</w:t>
      </w:r>
    </w:p>
    <w:p w14:paraId="08BF8785" w14:textId="77777777" w:rsidR="00C22A9C" w:rsidRPr="00747FD1" w:rsidRDefault="00C22A9C">
      <w:pPr>
        <w:spacing w:line="280" w:lineRule="exact"/>
        <w:rPr>
          <w:rFonts w:asciiTheme="minorHAnsi" w:hAnsiTheme="minorHAnsi" w:cstheme="minorHAnsi"/>
          <w:sz w:val="24"/>
          <w:szCs w:val="24"/>
        </w:rPr>
      </w:pPr>
    </w:p>
    <w:p w14:paraId="36BEBF13"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sz w:val="24"/>
          <w:szCs w:val="24"/>
        </w:rPr>
        <w:t>It will be reviewed annually at the Annual Parish Council Meeting, usually held in May.</w:t>
      </w:r>
    </w:p>
    <w:p w14:paraId="4EB519DD" w14:textId="77777777" w:rsidR="00C22A9C" w:rsidRPr="00747FD1" w:rsidRDefault="00C22A9C">
      <w:pPr>
        <w:spacing w:line="279" w:lineRule="exact"/>
        <w:rPr>
          <w:rFonts w:asciiTheme="minorHAnsi" w:hAnsiTheme="minorHAnsi" w:cstheme="minorHAnsi"/>
          <w:sz w:val="24"/>
          <w:szCs w:val="24"/>
        </w:rPr>
      </w:pPr>
    </w:p>
    <w:p w14:paraId="14AE0496" w14:textId="77777777" w:rsidR="00C22A9C" w:rsidRPr="00747FD1" w:rsidRDefault="00713574">
      <w:pPr>
        <w:rPr>
          <w:rFonts w:asciiTheme="minorHAnsi" w:hAnsiTheme="minorHAnsi" w:cstheme="minorHAnsi"/>
          <w:sz w:val="24"/>
          <w:szCs w:val="24"/>
        </w:rPr>
      </w:pPr>
      <w:r w:rsidRPr="00747FD1">
        <w:rPr>
          <w:rFonts w:asciiTheme="minorHAnsi" w:eastAsia="Calibri" w:hAnsiTheme="minorHAnsi" w:cstheme="minorHAnsi"/>
          <w:b/>
          <w:bCs/>
          <w:sz w:val="24"/>
          <w:szCs w:val="24"/>
        </w:rPr>
        <w:t>FREEDOM OF INFORMATION</w:t>
      </w:r>
    </w:p>
    <w:p w14:paraId="72F2A50A" w14:textId="77777777" w:rsidR="00C22A9C" w:rsidRPr="00747FD1" w:rsidRDefault="00C22A9C">
      <w:pPr>
        <w:spacing w:line="187" w:lineRule="exact"/>
        <w:rPr>
          <w:rFonts w:asciiTheme="minorHAnsi" w:hAnsiTheme="minorHAnsi" w:cstheme="minorHAnsi"/>
          <w:sz w:val="24"/>
          <w:szCs w:val="24"/>
        </w:rPr>
      </w:pPr>
    </w:p>
    <w:p w14:paraId="61B25376" w14:textId="77777777" w:rsidR="00C22A9C" w:rsidRPr="00747FD1" w:rsidRDefault="00713574">
      <w:pPr>
        <w:spacing w:line="236" w:lineRule="auto"/>
        <w:ind w:right="604"/>
        <w:rPr>
          <w:rFonts w:asciiTheme="minorHAnsi" w:hAnsiTheme="minorHAnsi" w:cstheme="minorHAnsi"/>
          <w:sz w:val="24"/>
          <w:szCs w:val="24"/>
        </w:rPr>
      </w:pPr>
      <w:r w:rsidRPr="00747FD1">
        <w:rPr>
          <w:rFonts w:asciiTheme="minorHAnsi" w:eastAsia="Calibri" w:hAnsiTheme="minorHAnsi" w:cstheme="minorHAnsi"/>
          <w:sz w:val="24"/>
          <w:szCs w:val="24"/>
        </w:rPr>
        <w:t>The Secretary of State recommends that the initial Strategy and any revised Strategy should, when approved, be made available to the public free of charge, online or in print. Hard copies should therefore be held by the Clerk, and it should be available on UTC's website.</w:t>
      </w:r>
    </w:p>
    <w:p w14:paraId="1138C630" w14:textId="77777777" w:rsidR="00C22A9C" w:rsidRPr="00747FD1" w:rsidRDefault="00C22A9C">
      <w:pPr>
        <w:rPr>
          <w:rFonts w:asciiTheme="minorHAnsi" w:hAnsiTheme="minorHAnsi" w:cstheme="minorHAnsi"/>
          <w:sz w:val="24"/>
          <w:szCs w:val="24"/>
        </w:rPr>
        <w:sectPr w:rsidR="00C22A9C" w:rsidRPr="00747FD1">
          <w:pgSz w:w="11900" w:h="16836"/>
          <w:pgMar w:top="1085" w:right="1440" w:bottom="699" w:left="1340" w:header="0" w:footer="0" w:gutter="0"/>
          <w:cols w:space="720" w:equalWidth="0">
            <w:col w:w="9124"/>
          </w:cols>
        </w:sectPr>
      </w:pPr>
    </w:p>
    <w:p w14:paraId="4A17DDA1" w14:textId="77777777" w:rsidR="00C22A9C" w:rsidRPr="00747FD1" w:rsidRDefault="00C22A9C">
      <w:pPr>
        <w:spacing w:line="200" w:lineRule="exact"/>
        <w:rPr>
          <w:rFonts w:asciiTheme="minorHAnsi" w:hAnsiTheme="minorHAnsi" w:cstheme="minorHAnsi"/>
          <w:sz w:val="24"/>
          <w:szCs w:val="24"/>
        </w:rPr>
      </w:pPr>
    </w:p>
    <w:p w14:paraId="109E3A30" w14:textId="77777777" w:rsidR="00C22A9C" w:rsidRPr="00747FD1" w:rsidRDefault="00C22A9C">
      <w:pPr>
        <w:spacing w:line="200" w:lineRule="exact"/>
        <w:rPr>
          <w:rFonts w:asciiTheme="minorHAnsi" w:hAnsiTheme="minorHAnsi" w:cstheme="minorHAnsi"/>
          <w:sz w:val="24"/>
          <w:szCs w:val="24"/>
        </w:rPr>
      </w:pPr>
    </w:p>
    <w:p w14:paraId="212B0EF8" w14:textId="77777777" w:rsidR="00C22A9C" w:rsidRPr="00747FD1" w:rsidRDefault="00C22A9C">
      <w:pPr>
        <w:spacing w:line="200" w:lineRule="exact"/>
        <w:rPr>
          <w:rFonts w:asciiTheme="minorHAnsi" w:hAnsiTheme="minorHAnsi" w:cstheme="minorHAnsi"/>
          <w:sz w:val="24"/>
          <w:szCs w:val="24"/>
        </w:rPr>
      </w:pPr>
    </w:p>
    <w:p w14:paraId="0BE9F72B" w14:textId="77777777" w:rsidR="00C22A9C" w:rsidRPr="00747FD1" w:rsidRDefault="00C22A9C">
      <w:pPr>
        <w:spacing w:line="200" w:lineRule="exact"/>
        <w:rPr>
          <w:rFonts w:asciiTheme="minorHAnsi" w:hAnsiTheme="minorHAnsi" w:cstheme="minorHAnsi"/>
          <w:sz w:val="24"/>
          <w:szCs w:val="24"/>
        </w:rPr>
      </w:pPr>
    </w:p>
    <w:p w14:paraId="29BBF381" w14:textId="77777777" w:rsidR="00C22A9C" w:rsidRPr="00747FD1" w:rsidRDefault="00C22A9C">
      <w:pPr>
        <w:spacing w:line="200" w:lineRule="exact"/>
        <w:rPr>
          <w:rFonts w:asciiTheme="minorHAnsi" w:hAnsiTheme="minorHAnsi" w:cstheme="minorHAnsi"/>
          <w:sz w:val="24"/>
          <w:szCs w:val="24"/>
        </w:rPr>
      </w:pPr>
    </w:p>
    <w:p w14:paraId="2A796F43" w14:textId="77777777" w:rsidR="00C22A9C" w:rsidRPr="00747FD1" w:rsidRDefault="00C22A9C">
      <w:pPr>
        <w:spacing w:line="200" w:lineRule="exact"/>
        <w:rPr>
          <w:rFonts w:asciiTheme="minorHAnsi" w:hAnsiTheme="minorHAnsi" w:cstheme="minorHAnsi"/>
          <w:sz w:val="24"/>
          <w:szCs w:val="24"/>
        </w:rPr>
      </w:pPr>
    </w:p>
    <w:p w14:paraId="0FAE1730" w14:textId="77777777" w:rsidR="00C22A9C" w:rsidRPr="00747FD1" w:rsidRDefault="00C22A9C">
      <w:pPr>
        <w:spacing w:line="200" w:lineRule="exact"/>
        <w:rPr>
          <w:rFonts w:asciiTheme="minorHAnsi" w:hAnsiTheme="minorHAnsi" w:cstheme="minorHAnsi"/>
          <w:sz w:val="24"/>
          <w:szCs w:val="24"/>
        </w:rPr>
      </w:pPr>
    </w:p>
    <w:p w14:paraId="24BC489B" w14:textId="77777777" w:rsidR="00C22A9C" w:rsidRPr="00747FD1" w:rsidRDefault="00C22A9C">
      <w:pPr>
        <w:spacing w:line="200" w:lineRule="exact"/>
        <w:rPr>
          <w:rFonts w:asciiTheme="minorHAnsi" w:hAnsiTheme="minorHAnsi" w:cstheme="minorHAnsi"/>
          <w:sz w:val="24"/>
          <w:szCs w:val="24"/>
        </w:rPr>
      </w:pPr>
    </w:p>
    <w:p w14:paraId="663A36AD" w14:textId="77777777" w:rsidR="00C22A9C" w:rsidRDefault="00C22A9C">
      <w:pPr>
        <w:spacing w:line="200" w:lineRule="exact"/>
        <w:rPr>
          <w:sz w:val="20"/>
          <w:szCs w:val="20"/>
        </w:rPr>
      </w:pPr>
    </w:p>
    <w:p w14:paraId="625078EA" w14:textId="77777777" w:rsidR="00C22A9C" w:rsidRDefault="00C22A9C">
      <w:pPr>
        <w:spacing w:line="200" w:lineRule="exact"/>
        <w:rPr>
          <w:sz w:val="20"/>
          <w:szCs w:val="20"/>
        </w:rPr>
      </w:pPr>
    </w:p>
    <w:p w14:paraId="3BE3867F" w14:textId="77777777" w:rsidR="00C22A9C" w:rsidRDefault="00C22A9C">
      <w:pPr>
        <w:spacing w:line="200" w:lineRule="exact"/>
        <w:rPr>
          <w:sz w:val="20"/>
          <w:szCs w:val="20"/>
        </w:rPr>
      </w:pPr>
    </w:p>
    <w:p w14:paraId="22AB7933" w14:textId="77777777" w:rsidR="00C22A9C" w:rsidRDefault="00C22A9C">
      <w:pPr>
        <w:spacing w:line="200" w:lineRule="exact"/>
        <w:rPr>
          <w:sz w:val="20"/>
          <w:szCs w:val="20"/>
        </w:rPr>
      </w:pPr>
    </w:p>
    <w:p w14:paraId="275562CF" w14:textId="77777777" w:rsidR="00C22A9C" w:rsidRDefault="00C22A9C">
      <w:pPr>
        <w:spacing w:line="200" w:lineRule="exact"/>
        <w:rPr>
          <w:sz w:val="20"/>
          <w:szCs w:val="20"/>
        </w:rPr>
      </w:pPr>
    </w:p>
    <w:p w14:paraId="11BC6B68" w14:textId="77777777" w:rsidR="00C22A9C" w:rsidRDefault="00C22A9C">
      <w:pPr>
        <w:spacing w:line="200" w:lineRule="exact"/>
        <w:rPr>
          <w:sz w:val="20"/>
          <w:szCs w:val="20"/>
        </w:rPr>
      </w:pPr>
    </w:p>
    <w:p w14:paraId="04711DD9" w14:textId="77777777" w:rsidR="00C22A9C" w:rsidRDefault="00C22A9C">
      <w:pPr>
        <w:spacing w:line="200" w:lineRule="exact"/>
        <w:rPr>
          <w:sz w:val="20"/>
          <w:szCs w:val="20"/>
        </w:rPr>
      </w:pPr>
    </w:p>
    <w:p w14:paraId="0292AFA1" w14:textId="77777777" w:rsidR="00C22A9C" w:rsidRDefault="00C22A9C">
      <w:pPr>
        <w:spacing w:line="200" w:lineRule="exact"/>
        <w:rPr>
          <w:sz w:val="20"/>
          <w:szCs w:val="20"/>
        </w:rPr>
      </w:pPr>
    </w:p>
    <w:p w14:paraId="506863E4" w14:textId="77777777" w:rsidR="00C22A9C" w:rsidRDefault="00C22A9C">
      <w:pPr>
        <w:spacing w:line="200" w:lineRule="exact"/>
        <w:rPr>
          <w:sz w:val="20"/>
          <w:szCs w:val="20"/>
        </w:rPr>
      </w:pPr>
    </w:p>
    <w:p w14:paraId="4FCD08B5" w14:textId="77777777" w:rsidR="00C22A9C" w:rsidRDefault="00C22A9C">
      <w:pPr>
        <w:spacing w:line="215" w:lineRule="exact"/>
        <w:rPr>
          <w:sz w:val="20"/>
          <w:szCs w:val="20"/>
        </w:rPr>
      </w:pPr>
    </w:p>
    <w:p w14:paraId="07D3E14C" w14:textId="77777777" w:rsidR="00C22A9C" w:rsidRDefault="00713574">
      <w:pPr>
        <w:ind w:left="7900"/>
        <w:rPr>
          <w:sz w:val="20"/>
          <w:szCs w:val="20"/>
        </w:rPr>
      </w:pPr>
      <w:r>
        <w:rPr>
          <w:rFonts w:ascii="Calibri" w:eastAsia="Calibri" w:hAnsi="Calibri" w:cs="Calibri"/>
          <w:sz w:val="16"/>
          <w:szCs w:val="16"/>
        </w:rPr>
        <w:t>Page 2 of 2</w:t>
      </w:r>
    </w:p>
    <w:sectPr w:rsidR="00C22A9C">
      <w:type w:val="continuous"/>
      <w:pgSz w:w="11900" w:h="16836"/>
      <w:pgMar w:top="1085" w:right="1440" w:bottom="699" w:left="1340" w:header="0" w:footer="0" w:gutter="0"/>
      <w:cols w:space="720" w:equalWidth="0">
        <w:col w:w="912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FB9F6" w14:textId="77777777" w:rsidR="006E701D" w:rsidRDefault="006E701D" w:rsidP="00747FD1">
      <w:r>
        <w:separator/>
      </w:r>
    </w:p>
  </w:endnote>
  <w:endnote w:type="continuationSeparator" w:id="0">
    <w:p w14:paraId="4942D92A" w14:textId="77777777" w:rsidR="006E701D" w:rsidRDefault="006E701D" w:rsidP="0074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E1BD" w14:textId="7496D41F" w:rsidR="00747FD1" w:rsidRDefault="00747FD1">
    <w:pPr>
      <w:pStyle w:val="Footer"/>
    </w:pPr>
    <w:r>
      <w:t xml:space="preserve">Investment policy adopted by Full Council   </w:t>
    </w:r>
    <w:r>
      <w:tab/>
    </w:r>
    <w:r>
      <w:tab/>
      <w:t>7</w:t>
    </w:r>
    <w:r w:rsidRPr="00747FD1">
      <w:rPr>
        <w:vertAlign w:val="superscript"/>
      </w:rPr>
      <w:t>th</w:t>
    </w:r>
    <w:r>
      <w:t xml:space="preserve"> October 2021</w:t>
    </w:r>
  </w:p>
  <w:p w14:paraId="5961CF1A" w14:textId="77777777" w:rsidR="00747FD1" w:rsidRDefault="0074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15962" w14:textId="77777777" w:rsidR="006E701D" w:rsidRDefault="006E701D" w:rsidP="00747FD1">
      <w:r>
        <w:separator/>
      </w:r>
    </w:p>
  </w:footnote>
  <w:footnote w:type="continuationSeparator" w:id="0">
    <w:p w14:paraId="3380DAD3" w14:textId="77777777" w:rsidR="006E701D" w:rsidRDefault="006E701D" w:rsidP="00747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1F3CBA56"/>
    <w:lvl w:ilvl="0" w:tplc="F6E414FC">
      <w:start w:val="1"/>
      <w:numFmt w:val="decimal"/>
      <w:lvlText w:val="(%1)"/>
      <w:lvlJc w:val="left"/>
    </w:lvl>
    <w:lvl w:ilvl="1" w:tplc="84C869AE">
      <w:numFmt w:val="decimal"/>
      <w:lvlText w:val=""/>
      <w:lvlJc w:val="left"/>
    </w:lvl>
    <w:lvl w:ilvl="2" w:tplc="C12AEE06">
      <w:numFmt w:val="decimal"/>
      <w:lvlText w:val=""/>
      <w:lvlJc w:val="left"/>
    </w:lvl>
    <w:lvl w:ilvl="3" w:tplc="1020F2EA">
      <w:numFmt w:val="decimal"/>
      <w:lvlText w:val=""/>
      <w:lvlJc w:val="left"/>
    </w:lvl>
    <w:lvl w:ilvl="4" w:tplc="939C2D40">
      <w:numFmt w:val="decimal"/>
      <w:lvlText w:val=""/>
      <w:lvlJc w:val="left"/>
    </w:lvl>
    <w:lvl w:ilvl="5" w:tplc="788040FA">
      <w:numFmt w:val="decimal"/>
      <w:lvlText w:val=""/>
      <w:lvlJc w:val="left"/>
    </w:lvl>
    <w:lvl w:ilvl="6" w:tplc="2ED0620A">
      <w:numFmt w:val="decimal"/>
      <w:lvlText w:val=""/>
      <w:lvlJc w:val="left"/>
    </w:lvl>
    <w:lvl w:ilvl="7" w:tplc="B12C89FA">
      <w:numFmt w:val="decimal"/>
      <w:lvlText w:val=""/>
      <w:lvlJc w:val="left"/>
    </w:lvl>
    <w:lvl w:ilvl="8" w:tplc="A23A0DC8">
      <w:numFmt w:val="decimal"/>
      <w:lvlText w:val=""/>
      <w:lvlJc w:val="left"/>
    </w:lvl>
  </w:abstractNum>
  <w:abstractNum w:abstractNumId="1" w15:restartNumberingAfterBreak="0">
    <w:nsid w:val="66334873"/>
    <w:multiLevelType w:val="hybridMultilevel"/>
    <w:tmpl w:val="310E4E06"/>
    <w:lvl w:ilvl="0" w:tplc="8C5E8A34">
      <w:start w:val="1"/>
      <w:numFmt w:val="lowerLetter"/>
      <w:lvlText w:val="(%1)"/>
      <w:lvlJc w:val="left"/>
    </w:lvl>
    <w:lvl w:ilvl="1" w:tplc="61347C0E">
      <w:numFmt w:val="decimal"/>
      <w:lvlText w:val=""/>
      <w:lvlJc w:val="left"/>
    </w:lvl>
    <w:lvl w:ilvl="2" w:tplc="C3FAC31C">
      <w:numFmt w:val="decimal"/>
      <w:lvlText w:val=""/>
      <w:lvlJc w:val="left"/>
    </w:lvl>
    <w:lvl w:ilvl="3" w:tplc="ABEAAE82">
      <w:numFmt w:val="decimal"/>
      <w:lvlText w:val=""/>
      <w:lvlJc w:val="left"/>
    </w:lvl>
    <w:lvl w:ilvl="4" w:tplc="375E6512">
      <w:numFmt w:val="decimal"/>
      <w:lvlText w:val=""/>
      <w:lvlJc w:val="left"/>
    </w:lvl>
    <w:lvl w:ilvl="5" w:tplc="C9322FB4">
      <w:numFmt w:val="decimal"/>
      <w:lvlText w:val=""/>
      <w:lvlJc w:val="left"/>
    </w:lvl>
    <w:lvl w:ilvl="6" w:tplc="9430A34A">
      <w:numFmt w:val="decimal"/>
      <w:lvlText w:val=""/>
      <w:lvlJc w:val="left"/>
    </w:lvl>
    <w:lvl w:ilvl="7" w:tplc="DEF6108C">
      <w:numFmt w:val="decimal"/>
      <w:lvlText w:val=""/>
      <w:lvlJc w:val="left"/>
    </w:lvl>
    <w:lvl w:ilvl="8" w:tplc="0F6C0F78">
      <w:numFmt w:val="decimal"/>
      <w:lvlText w:val=""/>
      <w:lvlJc w:val="left"/>
    </w:lvl>
  </w:abstractNum>
  <w:abstractNum w:abstractNumId="2" w15:restartNumberingAfterBreak="0">
    <w:nsid w:val="74B0DC51"/>
    <w:multiLevelType w:val="hybridMultilevel"/>
    <w:tmpl w:val="F5A442F6"/>
    <w:lvl w:ilvl="0" w:tplc="635A00A2">
      <w:start w:val="1"/>
      <w:numFmt w:val="decimal"/>
      <w:lvlText w:val="(%1)"/>
      <w:lvlJc w:val="left"/>
    </w:lvl>
    <w:lvl w:ilvl="1" w:tplc="B9C684DC">
      <w:numFmt w:val="decimal"/>
      <w:lvlText w:val=""/>
      <w:lvlJc w:val="left"/>
    </w:lvl>
    <w:lvl w:ilvl="2" w:tplc="702A90CA">
      <w:numFmt w:val="decimal"/>
      <w:lvlText w:val=""/>
      <w:lvlJc w:val="left"/>
    </w:lvl>
    <w:lvl w:ilvl="3" w:tplc="433A8BC2">
      <w:numFmt w:val="decimal"/>
      <w:lvlText w:val=""/>
      <w:lvlJc w:val="left"/>
    </w:lvl>
    <w:lvl w:ilvl="4" w:tplc="03FAD89A">
      <w:numFmt w:val="decimal"/>
      <w:lvlText w:val=""/>
      <w:lvlJc w:val="left"/>
    </w:lvl>
    <w:lvl w:ilvl="5" w:tplc="336AEAA0">
      <w:numFmt w:val="decimal"/>
      <w:lvlText w:val=""/>
      <w:lvlJc w:val="left"/>
    </w:lvl>
    <w:lvl w:ilvl="6" w:tplc="BFEC63A4">
      <w:numFmt w:val="decimal"/>
      <w:lvlText w:val=""/>
      <w:lvlJc w:val="left"/>
    </w:lvl>
    <w:lvl w:ilvl="7" w:tplc="E06AE8C6">
      <w:numFmt w:val="decimal"/>
      <w:lvlText w:val=""/>
      <w:lvlJc w:val="left"/>
    </w:lvl>
    <w:lvl w:ilvl="8" w:tplc="87C037F6">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9C"/>
    <w:rsid w:val="006E701D"/>
    <w:rsid w:val="00713574"/>
    <w:rsid w:val="00747FD1"/>
    <w:rsid w:val="00C2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C3DA7"/>
  <w15:docId w15:val="{CADF8520-0B96-4DD0-9DDD-6F3B953F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FD1"/>
    <w:pPr>
      <w:tabs>
        <w:tab w:val="center" w:pos="4513"/>
        <w:tab w:val="right" w:pos="9026"/>
      </w:tabs>
    </w:pPr>
  </w:style>
  <w:style w:type="character" w:customStyle="1" w:styleId="HeaderChar">
    <w:name w:val="Header Char"/>
    <w:basedOn w:val="DefaultParagraphFont"/>
    <w:link w:val="Header"/>
    <w:uiPriority w:val="99"/>
    <w:rsid w:val="00747FD1"/>
  </w:style>
  <w:style w:type="paragraph" w:styleId="Footer">
    <w:name w:val="footer"/>
    <w:basedOn w:val="Normal"/>
    <w:link w:val="FooterChar"/>
    <w:uiPriority w:val="99"/>
    <w:unhideWhenUsed/>
    <w:rsid w:val="00747FD1"/>
    <w:pPr>
      <w:tabs>
        <w:tab w:val="center" w:pos="4513"/>
        <w:tab w:val="right" w:pos="9026"/>
      </w:tabs>
    </w:pPr>
  </w:style>
  <w:style w:type="character" w:customStyle="1" w:styleId="FooterChar">
    <w:name w:val="Footer Char"/>
    <w:basedOn w:val="DefaultParagraphFont"/>
    <w:link w:val="Footer"/>
    <w:uiPriority w:val="99"/>
    <w:rsid w:val="00747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Bettles</cp:lastModifiedBy>
  <cp:revision>2</cp:revision>
  <dcterms:created xsi:type="dcterms:W3CDTF">2021-10-14T14:16:00Z</dcterms:created>
  <dcterms:modified xsi:type="dcterms:W3CDTF">2021-10-14T14:16:00Z</dcterms:modified>
</cp:coreProperties>
</file>