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202A9" w14:textId="0E96DFDE" w:rsidR="00512C44" w:rsidRDefault="00C22917">
      <w:pPr>
        <w:rPr>
          <w:b/>
          <w:bCs/>
          <w:lang w:val="en-US"/>
        </w:rPr>
      </w:pPr>
      <w:r>
        <w:rPr>
          <w:b/>
          <w:bCs/>
          <w:lang w:val="en-US"/>
        </w:rPr>
        <w:t>UPPINHAM TOWN COUNCIL</w:t>
      </w:r>
    </w:p>
    <w:p w14:paraId="080E30E2" w14:textId="77777777" w:rsidR="00C22917" w:rsidRDefault="00C22917">
      <w:pPr>
        <w:rPr>
          <w:b/>
          <w:bCs/>
          <w:lang w:val="en-US"/>
        </w:rPr>
      </w:pPr>
    </w:p>
    <w:p w14:paraId="07504446" w14:textId="3A1D4B03" w:rsidR="00C22917" w:rsidRDefault="00C22917">
      <w:pPr>
        <w:rPr>
          <w:b/>
          <w:bCs/>
          <w:lang w:val="en-US"/>
        </w:rPr>
      </w:pPr>
      <w:r>
        <w:rPr>
          <w:b/>
          <w:bCs/>
          <w:lang w:val="en-US"/>
        </w:rPr>
        <w:t>INTERNAL AUDIT REPORT 2023/24 – SUPPLEMENTARY SHEET</w:t>
      </w:r>
    </w:p>
    <w:p w14:paraId="208365ED" w14:textId="77777777" w:rsidR="00C22917" w:rsidRDefault="00C22917">
      <w:pPr>
        <w:rPr>
          <w:b/>
          <w:bCs/>
          <w:lang w:val="en-US"/>
        </w:rPr>
      </w:pPr>
    </w:p>
    <w:p w14:paraId="55F49F59" w14:textId="4F71A092" w:rsidR="00D06E78" w:rsidRDefault="00D06E78">
      <w:pPr>
        <w:rPr>
          <w:lang w:val="en-US"/>
        </w:rPr>
      </w:pPr>
      <w:r>
        <w:rPr>
          <w:lang w:val="en-US"/>
        </w:rPr>
        <w:t xml:space="preserve">The full-time clerk went on long term sick in February 2024 and subsequently resigned so was not available to assist and resolve queries. A locum clerk </w:t>
      </w:r>
      <w:r w:rsidR="000E0702">
        <w:rPr>
          <w:lang w:val="en-US"/>
        </w:rPr>
        <w:t xml:space="preserve">was </w:t>
      </w:r>
      <w:r>
        <w:rPr>
          <w:lang w:val="en-US"/>
        </w:rPr>
        <w:t xml:space="preserve">appointed </w:t>
      </w:r>
      <w:r w:rsidR="000E0702">
        <w:rPr>
          <w:lang w:val="en-US"/>
        </w:rPr>
        <w:t>on a part time basis on 18</w:t>
      </w:r>
      <w:r w:rsidR="000E0702" w:rsidRPr="000E0702">
        <w:rPr>
          <w:vertAlign w:val="superscript"/>
          <w:lang w:val="en-US"/>
        </w:rPr>
        <w:t>th</w:t>
      </w:r>
      <w:r w:rsidR="000E0702">
        <w:rPr>
          <w:lang w:val="en-US"/>
        </w:rPr>
        <w:t xml:space="preserve"> March after several weeks of there being no clerk at the Council. The locum clerk </w:t>
      </w:r>
      <w:r>
        <w:rPr>
          <w:lang w:val="en-US"/>
        </w:rPr>
        <w:t xml:space="preserve">had no involvement prior to </w:t>
      </w:r>
      <w:r w:rsidR="000E0702">
        <w:rPr>
          <w:lang w:val="en-US"/>
        </w:rPr>
        <w:t>his engagement</w:t>
      </w:r>
      <w:r>
        <w:rPr>
          <w:lang w:val="en-US"/>
        </w:rPr>
        <w:t xml:space="preserve"> and </w:t>
      </w:r>
      <w:r w:rsidR="000E0702">
        <w:rPr>
          <w:lang w:val="en-US"/>
        </w:rPr>
        <w:t xml:space="preserve">due to the </w:t>
      </w:r>
      <w:r>
        <w:rPr>
          <w:lang w:val="en-US"/>
        </w:rPr>
        <w:t>limited time available to him</w:t>
      </w:r>
      <w:r w:rsidR="000E0702">
        <w:rPr>
          <w:lang w:val="en-US"/>
        </w:rPr>
        <w:t xml:space="preserve"> has spent most of his time clearing any urgent backlog</w:t>
      </w:r>
      <w:r>
        <w:rPr>
          <w:lang w:val="en-US"/>
        </w:rPr>
        <w:t>.</w:t>
      </w:r>
    </w:p>
    <w:p w14:paraId="74E95BE5" w14:textId="77777777" w:rsidR="00D06E78" w:rsidRPr="00D06E78" w:rsidRDefault="00D06E78">
      <w:pPr>
        <w:rPr>
          <w:lang w:val="en-US"/>
        </w:rPr>
      </w:pPr>
    </w:p>
    <w:p w14:paraId="09AE4882" w14:textId="07EA4AEB" w:rsidR="00C22917" w:rsidRDefault="00C22917">
      <w:pPr>
        <w:rPr>
          <w:b/>
          <w:bCs/>
          <w:u w:val="single"/>
          <w:lang w:val="en-US"/>
        </w:rPr>
      </w:pPr>
      <w:r>
        <w:rPr>
          <w:b/>
          <w:bCs/>
          <w:u w:val="single"/>
          <w:lang w:val="en-US"/>
        </w:rPr>
        <w:t>Internal Audit Control Objective B</w:t>
      </w:r>
    </w:p>
    <w:p w14:paraId="7ED607C4" w14:textId="77777777" w:rsidR="00C22917" w:rsidRDefault="00C22917">
      <w:pPr>
        <w:rPr>
          <w:b/>
          <w:bCs/>
          <w:u w:val="single"/>
          <w:lang w:val="en-US"/>
        </w:rPr>
      </w:pPr>
    </w:p>
    <w:p w14:paraId="163BC4AC" w14:textId="775DFF4E" w:rsidR="00C22917" w:rsidRDefault="00C22917" w:rsidP="00C22917">
      <w:pPr>
        <w:pStyle w:val="ListParagraph"/>
        <w:numPr>
          <w:ilvl w:val="0"/>
          <w:numId w:val="1"/>
        </w:numPr>
        <w:jc w:val="both"/>
        <w:rPr>
          <w:lang w:val="en-US"/>
        </w:rPr>
      </w:pPr>
      <w:r>
        <w:rPr>
          <w:lang w:val="en-US"/>
        </w:rPr>
        <w:t>The financial regulations require that the Council issues a formal order or letter for all goods and services unless a formal contract is to be prepared or an order would not be appropriate. In the sample tested, no orders were found to be present. This has been reported to Council.</w:t>
      </w:r>
    </w:p>
    <w:p w14:paraId="4DD6528C" w14:textId="77777777" w:rsidR="00FF5CB1" w:rsidRPr="00FF5CB1" w:rsidRDefault="00FF5CB1" w:rsidP="00FF5CB1">
      <w:pPr>
        <w:jc w:val="both"/>
        <w:rPr>
          <w:lang w:val="en-US"/>
        </w:rPr>
      </w:pPr>
    </w:p>
    <w:p w14:paraId="6E8A1D5E" w14:textId="68F25559" w:rsidR="00C22917" w:rsidRDefault="00C22917" w:rsidP="00C22917">
      <w:pPr>
        <w:pStyle w:val="ListParagraph"/>
        <w:numPr>
          <w:ilvl w:val="0"/>
          <w:numId w:val="1"/>
        </w:numPr>
        <w:jc w:val="both"/>
        <w:rPr>
          <w:lang w:val="en-US"/>
        </w:rPr>
      </w:pPr>
      <w:r>
        <w:rPr>
          <w:lang w:val="en-US"/>
        </w:rPr>
        <w:t>In the sample selected for testing there was no physical evidence that the invoices had been approved prior to payment, either by way of a stamp or signature on the invoices.</w:t>
      </w:r>
    </w:p>
    <w:p w14:paraId="606CCA2E" w14:textId="77777777" w:rsidR="00FF5CB1" w:rsidRPr="00FF5CB1" w:rsidRDefault="00FF5CB1" w:rsidP="00FF5CB1">
      <w:pPr>
        <w:pStyle w:val="ListParagraph"/>
        <w:rPr>
          <w:lang w:val="en-US"/>
        </w:rPr>
      </w:pPr>
    </w:p>
    <w:p w14:paraId="4A400ED6" w14:textId="77777777" w:rsidR="00FF5CB1" w:rsidRDefault="00FF5CB1" w:rsidP="00FF5CB1">
      <w:pPr>
        <w:numPr>
          <w:ilvl w:val="0"/>
          <w:numId w:val="1"/>
        </w:numPr>
        <w:jc w:val="both"/>
      </w:pPr>
      <w:r w:rsidRPr="00E21D6A">
        <w:t xml:space="preserve">The </w:t>
      </w:r>
      <w:r>
        <w:t>Financial Regulations (Section 5.2) require that the Clerk prepares a schedule of payments requiring authorisation, forming part of the agenda, and that together with the invoices it is presented to Council.</w:t>
      </w:r>
    </w:p>
    <w:p w14:paraId="1685FFA3" w14:textId="77777777" w:rsidR="00FF5CB1" w:rsidRDefault="00FF5CB1" w:rsidP="00FF5CB1">
      <w:pPr>
        <w:pStyle w:val="ListParagraph"/>
      </w:pPr>
    </w:p>
    <w:p w14:paraId="58AF26A5" w14:textId="6C16863C" w:rsidR="00FF5CB1" w:rsidRDefault="00FF5CB1" w:rsidP="00FF5CB1">
      <w:pPr>
        <w:ind w:left="360"/>
        <w:jc w:val="both"/>
      </w:pPr>
      <w:r>
        <w:t>Between October 2023 and January 2024, there is evidence that some payments have been presented to Council and there are some schedules detailing BACS payments. However, the schedules included in the minutes file have not been signed and in a number of cases the amounts minuted as approved did not agree to the list of payments in the minute file. There is no reference to the approval of invoices.</w:t>
      </w:r>
    </w:p>
    <w:p w14:paraId="583B0AB4" w14:textId="77777777" w:rsidR="00FF5CB1" w:rsidRDefault="00FF5CB1" w:rsidP="00FF5CB1">
      <w:pPr>
        <w:ind w:left="360"/>
        <w:jc w:val="both"/>
      </w:pPr>
    </w:p>
    <w:p w14:paraId="2AFC0A2C" w14:textId="17920AA5" w:rsidR="00D06E78" w:rsidRDefault="00D06E78" w:rsidP="00FF5CB1">
      <w:pPr>
        <w:pStyle w:val="ListParagraph"/>
        <w:ind w:left="360"/>
        <w:jc w:val="both"/>
        <w:rPr>
          <w:lang w:val="en-US"/>
        </w:rPr>
      </w:pPr>
      <w:r>
        <w:rPr>
          <w:lang w:val="en-US"/>
        </w:rPr>
        <w:t>There is however a system of multi-authorisation before any BACS payments can be released.</w:t>
      </w:r>
    </w:p>
    <w:p w14:paraId="1448EDCB" w14:textId="490DA191" w:rsidR="00C22917" w:rsidRDefault="00D06E78" w:rsidP="00FF5CB1">
      <w:pPr>
        <w:jc w:val="both"/>
        <w:rPr>
          <w:lang w:val="en-US"/>
        </w:rPr>
      </w:pPr>
      <w:r w:rsidRPr="00FF5CB1">
        <w:rPr>
          <w:lang w:val="en-US"/>
        </w:rPr>
        <w:t xml:space="preserve"> </w:t>
      </w:r>
    </w:p>
    <w:p w14:paraId="570BCACA" w14:textId="03A4F329" w:rsidR="00FF5CB1" w:rsidRDefault="00FF5CB1" w:rsidP="00FF5CB1">
      <w:pPr>
        <w:jc w:val="both"/>
        <w:rPr>
          <w:b/>
          <w:bCs/>
          <w:u w:val="single"/>
          <w:lang w:val="en-US"/>
        </w:rPr>
      </w:pPr>
      <w:r>
        <w:rPr>
          <w:b/>
          <w:bCs/>
          <w:u w:val="single"/>
          <w:lang w:val="en-US"/>
        </w:rPr>
        <w:t>Internal Audit Control Objective C</w:t>
      </w:r>
    </w:p>
    <w:p w14:paraId="307F9392" w14:textId="77777777" w:rsidR="00FF5CB1" w:rsidRDefault="00FF5CB1" w:rsidP="00FF5CB1">
      <w:pPr>
        <w:jc w:val="both"/>
        <w:rPr>
          <w:b/>
          <w:bCs/>
          <w:u w:val="single"/>
          <w:lang w:val="en-US"/>
        </w:rPr>
      </w:pPr>
    </w:p>
    <w:p w14:paraId="1E737720"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 Council has a detailed Financial Management and Risk Assessment document supported by a number of policies and documents, including but not limited to:</w:t>
      </w:r>
    </w:p>
    <w:p w14:paraId="4EADD73F" w14:textId="77777777" w:rsidR="00FF5CB1" w:rsidRPr="00FF5CB1" w:rsidRDefault="00FF5CB1" w:rsidP="00FF5CB1">
      <w:pPr>
        <w:jc w:val="both"/>
        <w:rPr>
          <w:rFonts w:eastAsia="Times New Roman"/>
          <w:kern w:val="0"/>
          <w:lang w:eastAsia="en-GB"/>
          <w14:ligatures w14:val="none"/>
        </w:rPr>
      </w:pPr>
    </w:p>
    <w:p w14:paraId="7E2776CE"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 xml:space="preserve">Financial Regulations </w:t>
      </w:r>
    </w:p>
    <w:p w14:paraId="4B05C4C1"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Standing Orders</w:t>
      </w:r>
    </w:p>
    <w:p w14:paraId="375A0D23"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Health and Safety Policy</w:t>
      </w:r>
    </w:p>
    <w:p w14:paraId="14B6B635"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Investment Policy</w:t>
      </w:r>
    </w:p>
    <w:p w14:paraId="4078D576"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Reserves Policy</w:t>
      </w:r>
    </w:p>
    <w:p w14:paraId="76A1F145" w14:textId="77777777" w:rsidR="00FF5CB1" w:rsidRPr="00FF5CB1" w:rsidRDefault="00FF5CB1" w:rsidP="00FF5CB1">
      <w:pPr>
        <w:ind w:left="1800"/>
        <w:jc w:val="both"/>
        <w:rPr>
          <w:rFonts w:eastAsia="Times New Roman"/>
          <w:kern w:val="0"/>
          <w:lang w:eastAsia="en-GB"/>
          <w14:ligatures w14:val="none"/>
        </w:rPr>
      </w:pPr>
      <w:r w:rsidRPr="00FF5CB1">
        <w:rPr>
          <w:rFonts w:eastAsia="Times New Roman"/>
          <w:kern w:val="0"/>
          <w:lang w:eastAsia="en-GB"/>
          <w14:ligatures w14:val="none"/>
        </w:rPr>
        <w:t>Data Protection</w:t>
      </w:r>
    </w:p>
    <w:p w14:paraId="3DB1E95D" w14:textId="77777777" w:rsidR="00FF5CB1" w:rsidRPr="00FF5CB1" w:rsidRDefault="00FF5CB1" w:rsidP="00FF5CB1">
      <w:pPr>
        <w:ind w:left="1800"/>
        <w:jc w:val="both"/>
        <w:rPr>
          <w:rFonts w:eastAsia="Times New Roman"/>
          <w:kern w:val="0"/>
          <w:lang w:eastAsia="en-GB"/>
          <w14:ligatures w14:val="none"/>
        </w:rPr>
      </w:pPr>
    </w:p>
    <w:p w14:paraId="6D527404" w14:textId="77777777" w:rsidR="00FF5CB1" w:rsidRPr="00FF5CB1" w:rsidRDefault="00FF5CB1" w:rsidP="00FF5CB1">
      <w:pPr>
        <w:ind w:left="360"/>
        <w:jc w:val="both"/>
        <w:rPr>
          <w:rFonts w:eastAsia="Times New Roman"/>
          <w:kern w:val="0"/>
          <w:lang w:eastAsia="en-GB"/>
          <w14:ligatures w14:val="none"/>
        </w:rPr>
      </w:pPr>
      <w:r w:rsidRPr="00FF5CB1">
        <w:rPr>
          <w:rFonts w:eastAsia="Times New Roman"/>
          <w:kern w:val="0"/>
          <w:lang w:eastAsia="en-GB"/>
          <w14:ligatures w14:val="none"/>
        </w:rPr>
        <w:t>The Council now engages the services of specialist H&amp;S consultants.</w:t>
      </w:r>
    </w:p>
    <w:p w14:paraId="0F39B87D" w14:textId="77777777" w:rsidR="00FF5CB1" w:rsidRPr="00FF5CB1" w:rsidRDefault="00FF5CB1" w:rsidP="00FF5CB1">
      <w:pPr>
        <w:ind w:left="1800"/>
        <w:jc w:val="both"/>
        <w:rPr>
          <w:rFonts w:eastAsia="Times New Roman"/>
          <w:kern w:val="0"/>
          <w:lang w:eastAsia="en-GB"/>
          <w14:ligatures w14:val="none"/>
        </w:rPr>
      </w:pPr>
    </w:p>
    <w:p w14:paraId="346750C7"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 minutes indicate that the Financial Management and Risk Assessment document has been reviewed and adopted in May 2023, but on review of the document no changes have been made to the previous version and the following points to note still remain:</w:t>
      </w:r>
    </w:p>
    <w:p w14:paraId="7A92B310" w14:textId="77777777" w:rsidR="00FF5CB1" w:rsidRPr="00FF5CB1" w:rsidRDefault="00FF5CB1" w:rsidP="00FF5CB1">
      <w:pPr>
        <w:ind w:left="360"/>
        <w:rPr>
          <w:rFonts w:eastAsia="Times New Roman"/>
          <w:kern w:val="0"/>
          <w:lang w:eastAsia="en-GB"/>
          <w14:ligatures w14:val="none"/>
        </w:rPr>
      </w:pPr>
    </w:p>
    <w:p w14:paraId="68EC65AB" w14:textId="77777777" w:rsidR="00FF5CB1" w:rsidRPr="00FF5CB1" w:rsidRDefault="00FF5CB1" w:rsidP="00FF5CB1">
      <w:pPr>
        <w:numPr>
          <w:ilvl w:val="0"/>
          <w:numId w:val="4"/>
        </w:numPr>
        <w:ind w:left="1080"/>
        <w:jc w:val="both"/>
        <w:rPr>
          <w:rFonts w:eastAsia="Times New Roman"/>
          <w:kern w:val="0"/>
          <w:lang w:eastAsia="en-GB"/>
          <w14:ligatures w14:val="none"/>
        </w:rPr>
      </w:pPr>
      <w:r w:rsidRPr="00FF5CB1">
        <w:rPr>
          <w:rFonts w:eastAsia="Times New Roman"/>
          <w:kern w:val="0"/>
          <w:lang w:eastAsia="en-GB"/>
          <w14:ligatures w14:val="none"/>
        </w:rPr>
        <w:t>The bank and banking section only makes reference to cheque payments and does not include risks associated with BACS/online transactions.</w:t>
      </w:r>
    </w:p>
    <w:p w14:paraId="500550E0" w14:textId="77777777" w:rsidR="00FF5CB1" w:rsidRPr="00FF5CB1" w:rsidRDefault="00FF5CB1" w:rsidP="00FF5CB1">
      <w:pPr>
        <w:numPr>
          <w:ilvl w:val="0"/>
          <w:numId w:val="4"/>
        </w:numPr>
        <w:ind w:left="1080"/>
        <w:jc w:val="both"/>
        <w:rPr>
          <w:rFonts w:eastAsia="Times New Roman"/>
          <w:kern w:val="0"/>
          <w:lang w:eastAsia="en-GB"/>
          <w14:ligatures w14:val="none"/>
        </w:rPr>
      </w:pPr>
      <w:r w:rsidRPr="00FF5CB1">
        <w:rPr>
          <w:rFonts w:eastAsia="Times New Roman"/>
          <w:kern w:val="0"/>
          <w:lang w:eastAsia="en-GB"/>
          <w14:ligatures w14:val="none"/>
        </w:rPr>
        <w:t>The direct costs, overheads and expenses section refers only to the process of cheque payments and does not include online transactions.</w:t>
      </w:r>
    </w:p>
    <w:p w14:paraId="76FC6F99" w14:textId="77777777" w:rsidR="00FF5CB1" w:rsidRPr="00FF5CB1" w:rsidRDefault="00FF5CB1" w:rsidP="00FF5CB1">
      <w:pPr>
        <w:numPr>
          <w:ilvl w:val="0"/>
          <w:numId w:val="4"/>
        </w:numPr>
        <w:ind w:left="1080"/>
        <w:jc w:val="both"/>
        <w:rPr>
          <w:rFonts w:eastAsia="Times New Roman"/>
          <w:kern w:val="0"/>
          <w:lang w:eastAsia="en-GB"/>
          <w14:ligatures w14:val="none"/>
        </w:rPr>
      </w:pPr>
      <w:r w:rsidRPr="00FF5CB1">
        <w:rPr>
          <w:rFonts w:eastAsia="Times New Roman"/>
          <w:kern w:val="0"/>
          <w:lang w:eastAsia="en-GB"/>
          <w14:ligatures w14:val="none"/>
        </w:rPr>
        <w:t>Salaries and associated costs has been assessed on the assumption that payroll is completed ‘in house’. The risks associated with outsourcing have not been assessed.</w:t>
      </w:r>
    </w:p>
    <w:p w14:paraId="4D5232B3" w14:textId="77777777" w:rsidR="00FF5CB1" w:rsidRPr="00FF5CB1" w:rsidRDefault="00FF5CB1" w:rsidP="00FF5CB1">
      <w:pPr>
        <w:jc w:val="both"/>
        <w:rPr>
          <w:rFonts w:eastAsia="Times New Roman"/>
          <w:kern w:val="0"/>
          <w:lang w:eastAsia="en-GB"/>
          <w14:ligatures w14:val="none"/>
        </w:rPr>
      </w:pPr>
    </w:p>
    <w:p w14:paraId="656FC914"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There is evidence of review of the Standing Orders and Financial Regulations. However when testing payments, there is no evidence that invoices have been authorised prior to payment being made.</w:t>
      </w:r>
    </w:p>
    <w:p w14:paraId="0C81EC1F" w14:textId="77777777" w:rsidR="00FF5CB1" w:rsidRPr="00FF5CB1" w:rsidRDefault="00FF5CB1" w:rsidP="00FF5CB1">
      <w:pPr>
        <w:ind w:left="360"/>
        <w:rPr>
          <w:rFonts w:eastAsia="Times New Roman"/>
          <w:kern w:val="0"/>
          <w:lang w:eastAsia="en-GB"/>
          <w14:ligatures w14:val="none"/>
        </w:rPr>
      </w:pPr>
    </w:p>
    <w:p w14:paraId="6F4C0B4B"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 Annual Investment Policy and Investment Strategy documents state that a review should take place before the start of each year. There was no evidence of review at all during 2023/24. The opening balances were quoted as being in excess of £400,000 when in fact they were £158,045.</w:t>
      </w:r>
    </w:p>
    <w:p w14:paraId="535A38A0" w14:textId="77777777" w:rsidR="00FF5CB1" w:rsidRPr="00FF5CB1" w:rsidRDefault="00FF5CB1" w:rsidP="00FF5CB1">
      <w:pPr>
        <w:ind w:left="360"/>
        <w:rPr>
          <w:rFonts w:eastAsia="Times New Roman"/>
          <w:kern w:val="0"/>
          <w:lang w:eastAsia="en-GB"/>
          <w14:ligatures w14:val="none"/>
        </w:rPr>
      </w:pPr>
    </w:p>
    <w:p w14:paraId="473B400B"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There is no evidence of review of the Investment Policy</w:t>
      </w:r>
    </w:p>
    <w:p w14:paraId="4714D1BE" w14:textId="77777777" w:rsidR="00FF5CB1" w:rsidRPr="00FF5CB1" w:rsidRDefault="00FF5CB1" w:rsidP="00FF5CB1">
      <w:pPr>
        <w:jc w:val="both"/>
        <w:rPr>
          <w:rFonts w:eastAsia="Times New Roman"/>
          <w:kern w:val="0"/>
          <w:lang w:eastAsia="en-GB"/>
          <w14:ligatures w14:val="none"/>
        </w:rPr>
      </w:pPr>
    </w:p>
    <w:p w14:paraId="04BF4782"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t>The Clerk went on long term sick in February 2024 and subsequently resigned. The Council has secured the temporary services of a locum clerk on a part time basis but there was no formal continuity plan in place.</w:t>
      </w:r>
    </w:p>
    <w:p w14:paraId="392705C4" w14:textId="77777777" w:rsidR="00FF5CB1" w:rsidRPr="00FF5CB1" w:rsidRDefault="00FF5CB1" w:rsidP="00FF5CB1">
      <w:pPr>
        <w:ind w:left="360"/>
        <w:rPr>
          <w:rFonts w:eastAsia="Times New Roman"/>
          <w:kern w:val="0"/>
          <w:lang w:eastAsia="en-GB"/>
          <w14:ligatures w14:val="none"/>
        </w:rPr>
      </w:pPr>
    </w:p>
    <w:p w14:paraId="29150B3E" w14:textId="77777777" w:rsidR="00FF5CB1" w:rsidRPr="00FF5CB1" w:rsidRDefault="00FF5CB1" w:rsidP="00FF5CB1">
      <w:pPr>
        <w:numPr>
          <w:ilvl w:val="0"/>
          <w:numId w:val="3"/>
        </w:numPr>
        <w:ind w:left="360"/>
        <w:jc w:val="both"/>
        <w:rPr>
          <w:rFonts w:eastAsia="Times New Roman"/>
          <w:kern w:val="0"/>
          <w:lang w:eastAsia="en-GB"/>
          <w14:ligatures w14:val="none"/>
        </w:rPr>
      </w:pPr>
      <w:r w:rsidRPr="00FF5CB1">
        <w:rPr>
          <w:rFonts w:eastAsia="Times New Roman"/>
          <w:kern w:val="0"/>
          <w:lang w:eastAsia="en-GB"/>
          <w14:ligatures w14:val="none"/>
        </w:rPr>
        <w:lastRenderedPageBreak/>
        <w:t>In May 2023 the agenda included review and adoption of a number of policies, all of which were minuted as adopted but it is unclear what if any changes were made to the policies prior to adoption.</w:t>
      </w:r>
    </w:p>
    <w:p w14:paraId="275D179A" w14:textId="77777777" w:rsidR="00FF5CB1" w:rsidRPr="00FF5CB1" w:rsidRDefault="00FF5CB1" w:rsidP="00FF5CB1">
      <w:pPr>
        <w:ind w:left="360"/>
        <w:rPr>
          <w:rFonts w:eastAsia="Times New Roman"/>
          <w:kern w:val="0"/>
          <w:lang w:eastAsia="en-GB"/>
          <w14:ligatures w14:val="none"/>
        </w:rPr>
      </w:pPr>
    </w:p>
    <w:p w14:paraId="0B95CEE5" w14:textId="680D1863" w:rsidR="00FF5CB1" w:rsidRDefault="00FF5CB1" w:rsidP="00FF5CB1">
      <w:pPr>
        <w:jc w:val="both"/>
        <w:rPr>
          <w:b/>
          <w:bCs/>
          <w:u w:val="single"/>
          <w:lang w:val="en-US"/>
        </w:rPr>
      </w:pPr>
      <w:r>
        <w:rPr>
          <w:b/>
          <w:bCs/>
          <w:u w:val="single"/>
          <w:lang w:val="en-US"/>
        </w:rPr>
        <w:t>Internal Audit Control Objective G</w:t>
      </w:r>
    </w:p>
    <w:p w14:paraId="599AE8D0" w14:textId="77777777" w:rsidR="00FF5CB1" w:rsidRDefault="00FF5CB1" w:rsidP="00FF5CB1">
      <w:pPr>
        <w:jc w:val="both"/>
        <w:rPr>
          <w:b/>
          <w:bCs/>
          <w:u w:val="single"/>
          <w:lang w:val="en-US"/>
        </w:rPr>
      </w:pPr>
    </w:p>
    <w:p w14:paraId="520E021B" w14:textId="78DC1524" w:rsidR="00FF5CB1" w:rsidRDefault="00FF5CB1" w:rsidP="00FF5CB1">
      <w:pPr>
        <w:jc w:val="both"/>
        <w:rPr>
          <w:lang w:val="en-US"/>
        </w:rPr>
      </w:pPr>
      <w:r>
        <w:rPr>
          <w:lang w:val="en-US"/>
        </w:rPr>
        <w:t xml:space="preserve">Payroll is outsourced to Rutland County Council (RCC) for processing. A payroll schedule was provided from RCC and payroll rates and calculations were tested. </w:t>
      </w:r>
    </w:p>
    <w:p w14:paraId="37CF815E" w14:textId="77777777" w:rsidR="00FF5CB1" w:rsidRDefault="00FF5CB1" w:rsidP="00FF5CB1">
      <w:pPr>
        <w:jc w:val="both"/>
        <w:rPr>
          <w:lang w:val="en-US"/>
        </w:rPr>
      </w:pPr>
    </w:p>
    <w:p w14:paraId="3714B248" w14:textId="4CD99FDF" w:rsidR="00FF5CB1" w:rsidRDefault="00FF5CB1" w:rsidP="00FF5CB1">
      <w:pPr>
        <w:jc w:val="both"/>
        <w:rPr>
          <w:lang w:val="en-US"/>
        </w:rPr>
      </w:pPr>
      <w:r>
        <w:rPr>
          <w:lang w:val="en-US"/>
        </w:rPr>
        <w:t xml:space="preserve">Testing provided assurance that </w:t>
      </w:r>
      <w:r w:rsidR="00D063B8">
        <w:rPr>
          <w:lang w:val="en-US"/>
        </w:rPr>
        <w:t>staff are paid at the correct rates and all calculations are correct, therefore the test has been met.</w:t>
      </w:r>
    </w:p>
    <w:p w14:paraId="7B636738" w14:textId="77777777" w:rsidR="00D063B8" w:rsidRDefault="00D063B8" w:rsidP="00FF5CB1">
      <w:pPr>
        <w:jc w:val="both"/>
        <w:rPr>
          <w:lang w:val="en-US"/>
        </w:rPr>
      </w:pPr>
    </w:p>
    <w:p w14:paraId="38AE4406" w14:textId="10ED369F" w:rsidR="00D063B8" w:rsidRDefault="00D063B8" w:rsidP="00FF5CB1">
      <w:pPr>
        <w:jc w:val="both"/>
        <w:rPr>
          <w:lang w:val="en-US"/>
        </w:rPr>
      </w:pPr>
      <w:r>
        <w:rPr>
          <w:lang w:val="en-US"/>
        </w:rPr>
        <w:t>However, in the process of payroll testing the following was noted and is reflected in the ‘no’ response to Internal Audit Control Objective J.</w:t>
      </w:r>
    </w:p>
    <w:p w14:paraId="1AAA4E01" w14:textId="77777777" w:rsidR="00D063B8" w:rsidRDefault="00D063B8" w:rsidP="00FF5CB1">
      <w:pPr>
        <w:jc w:val="both"/>
        <w:rPr>
          <w:lang w:val="en-US"/>
        </w:rPr>
      </w:pPr>
    </w:p>
    <w:p w14:paraId="2A784589" w14:textId="77777777" w:rsidR="00D063B8" w:rsidRPr="00D063B8" w:rsidRDefault="00D063B8" w:rsidP="00D063B8">
      <w:pPr>
        <w:numPr>
          <w:ilvl w:val="0"/>
          <w:numId w:val="5"/>
        </w:numPr>
        <w:jc w:val="both"/>
        <w:rPr>
          <w:rFonts w:eastAsia="Times New Roman"/>
          <w:kern w:val="0"/>
          <w:lang w:eastAsia="en-GB"/>
          <w14:ligatures w14:val="none"/>
        </w:rPr>
      </w:pPr>
      <w:r w:rsidRPr="00D063B8">
        <w:rPr>
          <w:rFonts w:eastAsia="Times New Roman"/>
          <w:kern w:val="0"/>
          <w:lang w:eastAsia="en-GB"/>
          <w14:ligatures w14:val="none"/>
        </w:rPr>
        <w:t xml:space="preserve">Payroll costs per the accounts and AGAR were reconciled to the payroll schedule provided by RCC. Payroll costs in the accounts are understated by £2,241.10 as a result of a processing error for the quarter 2 invoice from RCC. </w:t>
      </w:r>
    </w:p>
    <w:p w14:paraId="63106126" w14:textId="77777777" w:rsidR="00D063B8" w:rsidRPr="00D063B8" w:rsidRDefault="00D063B8" w:rsidP="00D063B8">
      <w:pPr>
        <w:ind w:left="720"/>
        <w:rPr>
          <w:rFonts w:eastAsia="Times New Roman"/>
          <w:kern w:val="0"/>
          <w:lang w:eastAsia="en-GB"/>
          <w14:ligatures w14:val="none"/>
        </w:rPr>
      </w:pPr>
    </w:p>
    <w:p w14:paraId="066BDA7B" w14:textId="77777777" w:rsidR="00D063B8" w:rsidRDefault="00D063B8" w:rsidP="00D063B8">
      <w:pPr>
        <w:ind w:left="360"/>
        <w:jc w:val="both"/>
        <w:rPr>
          <w:rFonts w:eastAsia="Times New Roman"/>
          <w:kern w:val="0"/>
          <w:lang w:eastAsia="en-GB"/>
          <w14:ligatures w14:val="none"/>
        </w:rPr>
      </w:pPr>
      <w:r w:rsidRPr="00D063B8">
        <w:rPr>
          <w:rFonts w:eastAsia="Times New Roman"/>
          <w:kern w:val="0"/>
          <w:lang w:eastAsia="en-GB"/>
          <w14:ligatures w14:val="none"/>
        </w:rPr>
        <w:t>The invoice was for a total of £13,603.80 being £13,577.60 net (actual payroll costs) and £26.20 VAT but it was entered into the system as £11,336 net (payroll costs) and £2,267.30 VAT hence the understatement of payroll costs. This also resulted in the VAT reclaim being incorrect.</w:t>
      </w:r>
    </w:p>
    <w:p w14:paraId="4C865028" w14:textId="77777777" w:rsidR="00D063B8" w:rsidRDefault="00D063B8" w:rsidP="00D063B8">
      <w:pPr>
        <w:ind w:left="360"/>
        <w:jc w:val="both"/>
        <w:rPr>
          <w:rFonts w:eastAsia="Times New Roman"/>
          <w:kern w:val="0"/>
          <w:lang w:eastAsia="en-GB"/>
          <w14:ligatures w14:val="none"/>
        </w:rPr>
      </w:pPr>
    </w:p>
    <w:p w14:paraId="2D5FC0FA" w14:textId="30C50832" w:rsidR="00D063B8" w:rsidRPr="00D063B8" w:rsidRDefault="00D063B8" w:rsidP="00D063B8">
      <w:pPr>
        <w:jc w:val="both"/>
        <w:rPr>
          <w:rFonts w:eastAsia="Times New Roman"/>
          <w:b/>
          <w:bCs/>
          <w:kern w:val="0"/>
          <w:u w:val="single"/>
          <w:lang w:eastAsia="en-GB"/>
          <w14:ligatures w14:val="none"/>
        </w:rPr>
      </w:pPr>
      <w:r>
        <w:rPr>
          <w:rFonts w:eastAsia="Times New Roman"/>
          <w:b/>
          <w:bCs/>
          <w:kern w:val="0"/>
          <w:u w:val="single"/>
          <w:lang w:eastAsia="en-GB"/>
          <w14:ligatures w14:val="none"/>
        </w:rPr>
        <w:t>Internal Audit Control Objective J</w:t>
      </w:r>
    </w:p>
    <w:p w14:paraId="36778477" w14:textId="77777777" w:rsidR="00D063B8" w:rsidRDefault="00D063B8" w:rsidP="00D063B8">
      <w:pPr>
        <w:jc w:val="both"/>
        <w:rPr>
          <w:lang w:val="en-US"/>
        </w:rPr>
      </w:pPr>
    </w:p>
    <w:p w14:paraId="0DB3771C" w14:textId="77777777" w:rsidR="00D063B8" w:rsidRPr="00D063B8" w:rsidRDefault="00D063B8" w:rsidP="00D063B8">
      <w:pPr>
        <w:jc w:val="both"/>
        <w:rPr>
          <w:rFonts w:eastAsia="Times New Roman"/>
          <w:kern w:val="0"/>
          <w:lang w:eastAsia="en-GB"/>
          <w14:ligatures w14:val="none"/>
        </w:rPr>
      </w:pPr>
      <w:r w:rsidRPr="00D063B8">
        <w:rPr>
          <w:rFonts w:eastAsia="Times New Roman"/>
          <w:kern w:val="0"/>
          <w:lang w:eastAsia="en-GB"/>
          <w14:ligatures w14:val="none"/>
        </w:rPr>
        <w:t>A council of this size must prepare accounts on an income and expenditure basis. As a result of the staffing changes the following points were noted:</w:t>
      </w:r>
    </w:p>
    <w:p w14:paraId="38ED127D" w14:textId="77777777" w:rsidR="00D063B8" w:rsidRPr="00D063B8" w:rsidRDefault="00D063B8" w:rsidP="00D063B8">
      <w:pPr>
        <w:jc w:val="both"/>
        <w:rPr>
          <w:rFonts w:eastAsia="Times New Roman"/>
          <w:kern w:val="0"/>
          <w:lang w:eastAsia="en-GB"/>
          <w14:ligatures w14:val="none"/>
        </w:rPr>
      </w:pPr>
    </w:p>
    <w:p w14:paraId="79EB0A6A"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Up to January 2024 the sales and purchase ledger functions were used in Rialtas. Debtor and Creditor lists were therefore produced on a regular basis. Since the departure of the clerk these are no longer used and due to time constraints the locum clerk has reverted to a receipts and payments basis.</w:t>
      </w:r>
    </w:p>
    <w:p w14:paraId="48FB8FE0" w14:textId="77777777" w:rsidR="00D063B8" w:rsidRPr="00D063B8" w:rsidRDefault="00D063B8" w:rsidP="00D063B8">
      <w:pPr>
        <w:jc w:val="both"/>
        <w:rPr>
          <w:rFonts w:eastAsia="Times New Roman"/>
          <w:kern w:val="0"/>
          <w:lang w:eastAsia="en-GB"/>
          <w14:ligatures w14:val="none"/>
        </w:rPr>
      </w:pPr>
    </w:p>
    <w:p w14:paraId="75CB5884"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There is no evidence that the list of sales ledger balances has been reviewed for old/unrecoverable debts. A number of balances remain outstanding from the previous year.</w:t>
      </w:r>
    </w:p>
    <w:p w14:paraId="150FBF7C" w14:textId="77777777" w:rsidR="00D063B8" w:rsidRPr="00D063B8" w:rsidRDefault="00D063B8" w:rsidP="00D063B8">
      <w:pPr>
        <w:ind w:left="360"/>
        <w:rPr>
          <w:rFonts w:eastAsia="Times New Roman"/>
          <w:kern w:val="0"/>
          <w:lang w:eastAsia="en-GB"/>
          <w14:ligatures w14:val="none"/>
        </w:rPr>
      </w:pPr>
    </w:p>
    <w:p w14:paraId="1831B185"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No provision has been made in the accounts for market rent and hall hire invoices raised in February and March 2024 which remained unpaid at the year end.</w:t>
      </w:r>
    </w:p>
    <w:p w14:paraId="4573FB01" w14:textId="77777777" w:rsidR="00D063B8" w:rsidRPr="00D063B8" w:rsidRDefault="00D063B8" w:rsidP="00D063B8">
      <w:pPr>
        <w:ind w:left="360"/>
        <w:rPr>
          <w:rFonts w:eastAsia="Times New Roman"/>
          <w:kern w:val="0"/>
          <w:lang w:eastAsia="en-GB"/>
          <w14:ligatures w14:val="none"/>
        </w:rPr>
      </w:pPr>
    </w:p>
    <w:p w14:paraId="0D713E57"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It was noted that three of the balances on the purchase ledger balances are still outstanding from the previous year. On further investigation, it was found that these invoices had been processed again in 2023/24 resulting in expenses being overstated.</w:t>
      </w:r>
    </w:p>
    <w:p w14:paraId="4C715570" w14:textId="77777777" w:rsidR="00D063B8" w:rsidRPr="00D063B8" w:rsidRDefault="00D063B8" w:rsidP="00D063B8">
      <w:pPr>
        <w:ind w:left="360"/>
        <w:rPr>
          <w:rFonts w:eastAsia="Times New Roman"/>
          <w:kern w:val="0"/>
          <w:lang w:eastAsia="en-GB"/>
          <w14:ligatures w14:val="none"/>
        </w:rPr>
      </w:pPr>
    </w:p>
    <w:p w14:paraId="32E78E9E"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Sundry debtors have not been reviewed and as a result balances have been incorrectly included which relate to 2022/23.</w:t>
      </w:r>
    </w:p>
    <w:p w14:paraId="78571092" w14:textId="77777777" w:rsidR="00D063B8" w:rsidRPr="00D063B8" w:rsidRDefault="00D063B8" w:rsidP="00D063B8">
      <w:pPr>
        <w:ind w:left="360"/>
        <w:rPr>
          <w:rFonts w:eastAsia="Times New Roman"/>
          <w:kern w:val="0"/>
          <w:lang w:eastAsia="en-GB"/>
          <w14:ligatures w14:val="none"/>
        </w:rPr>
      </w:pPr>
    </w:p>
    <w:p w14:paraId="3F23B4B0" w14:textId="77777777" w:rsidR="00D063B8" w:rsidRP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No prepayments have been calculated.</w:t>
      </w:r>
    </w:p>
    <w:p w14:paraId="57D7A352" w14:textId="77777777" w:rsidR="00D063B8" w:rsidRPr="00D063B8" w:rsidRDefault="00D063B8" w:rsidP="00D063B8">
      <w:pPr>
        <w:ind w:left="360"/>
        <w:rPr>
          <w:rFonts w:eastAsia="Times New Roman"/>
          <w:kern w:val="0"/>
          <w:lang w:eastAsia="en-GB"/>
          <w14:ligatures w14:val="none"/>
        </w:rPr>
      </w:pPr>
    </w:p>
    <w:p w14:paraId="06A16366" w14:textId="77777777" w:rsidR="00D063B8" w:rsidRDefault="00D063B8" w:rsidP="00D063B8">
      <w:pPr>
        <w:numPr>
          <w:ilvl w:val="0"/>
          <w:numId w:val="6"/>
        </w:numPr>
        <w:ind w:left="360"/>
        <w:jc w:val="both"/>
        <w:rPr>
          <w:rFonts w:eastAsia="Times New Roman"/>
          <w:kern w:val="0"/>
          <w:lang w:eastAsia="en-GB"/>
          <w14:ligatures w14:val="none"/>
        </w:rPr>
      </w:pPr>
      <w:r w:rsidRPr="00D063B8">
        <w:rPr>
          <w:rFonts w:eastAsia="Times New Roman"/>
          <w:kern w:val="0"/>
          <w:lang w:eastAsia="en-GB"/>
          <w14:ligatures w14:val="none"/>
        </w:rPr>
        <w:t>Sundry creditors provided by the locum clerk include an invoice in respect of the retention for the toilet refurbishment from Metcalf. This was provided for in 2022/23 and has been brought forward so is therefore duplicated.</w:t>
      </w:r>
    </w:p>
    <w:p w14:paraId="7F1B574B" w14:textId="77777777" w:rsidR="00D063B8" w:rsidRDefault="00D063B8" w:rsidP="00D063B8">
      <w:pPr>
        <w:pStyle w:val="ListParagraph"/>
        <w:rPr>
          <w:rFonts w:eastAsia="Times New Roman"/>
          <w:kern w:val="0"/>
          <w:lang w:eastAsia="en-GB"/>
          <w14:ligatures w14:val="none"/>
        </w:rPr>
      </w:pPr>
    </w:p>
    <w:p w14:paraId="2138121B" w14:textId="559B538E" w:rsidR="00D063B8" w:rsidRDefault="00D063B8" w:rsidP="00D063B8">
      <w:pPr>
        <w:jc w:val="both"/>
        <w:rPr>
          <w:rFonts w:eastAsia="Times New Roman"/>
          <w:kern w:val="0"/>
          <w:lang w:eastAsia="en-GB"/>
          <w14:ligatures w14:val="none"/>
        </w:rPr>
      </w:pPr>
      <w:r>
        <w:rPr>
          <w:rFonts w:eastAsia="Times New Roman"/>
          <w:kern w:val="0"/>
          <w:lang w:eastAsia="en-GB"/>
          <w14:ligatures w14:val="none"/>
        </w:rPr>
        <w:t>At the year end, the above errors together with the payroll difference has resulted in an understatement of reserves amounting to £14,977 and an overstatement of the VAT debtor amounting to £3,812.45</w:t>
      </w:r>
    </w:p>
    <w:p w14:paraId="599B58A3" w14:textId="77777777" w:rsidR="00D063B8" w:rsidRDefault="00D063B8" w:rsidP="00D063B8">
      <w:pPr>
        <w:jc w:val="both"/>
        <w:rPr>
          <w:rFonts w:eastAsia="Times New Roman"/>
          <w:kern w:val="0"/>
          <w:lang w:eastAsia="en-GB"/>
          <w14:ligatures w14:val="none"/>
        </w:rPr>
      </w:pPr>
    </w:p>
    <w:p w14:paraId="342AA137" w14:textId="6F7EFDCC" w:rsidR="00D063B8" w:rsidRDefault="00D063B8" w:rsidP="00D063B8">
      <w:pPr>
        <w:jc w:val="both"/>
        <w:rPr>
          <w:rFonts w:eastAsia="Times New Roman"/>
          <w:b/>
          <w:bCs/>
          <w:kern w:val="0"/>
          <w:u w:val="single"/>
          <w:lang w:eastAsia="en-GB"/>
          <w14:ligatures w14:val="none"/>
        </w:rPr>
      </w:pPr>
      <w:r>
        <w:rPr>
          <w:rFonts w:eastAsia="Times New Roman"/>
          <w:b/>
          <w:bCs/>
          <w:kern w:val="0"/>
          <w:u w:val="single"/>
          <w:lang w:eastAsia="en-GB"/>
          <w14:ligatures w14:val="none"/>
        </w:rPr>
        <w:t>Internal Audit Control Objective M</w:t>
      </w:r>
    </w:p>
    <w:p w14:paraId="7C144C0D" w14:textId="77777777" w:rsidR="00D063B8" w:rsidRDefault="00D063B8" w:rsidP="00D063B8">
      <w:pPr>
        <w:jc w:val="both"/>
        <w:rPr>
          <w:rFonts w:eastAsia="Times New Roman"/>
          <w:b/>
          <w:bCs/>
          <w:kern w:val="0"/>
          <w:u w:val="single"/>
          <w:lang w:eastAsia="en-GB"/>
          <w14:ligatures w14:val="none"/>
        </w:rPr>
      </w:pPr>
    </w:p>
    <w:p w14:paraId="30DCCF5F" w14:textId="76D3DC66" w:rsidR="00D063B8" w:rsidRPr="00FF5CB1" w:rsidRDefault="009514D9" w:rsidP="00D063B8">
      <w:pPr>
        <w:jc w:val="both"/>
        <w:rPr>
          <w:lang w:val="en-US"/>
        </w:rPr>
      </w:pPr>
      <w:r>
        <w:rPr>
          <w:rFonts w:eastAsia="Times New Roman"/>
          <w:kern w:val="0"/>
          <w:lang w:eastAsia="en-GB"/>
          <w14:ligatures w14:val="none"/>
        </w:rPr>
        <w:t>Whilst T</w:t>
      </w:r>
      <w:r w:rsidR="00D063B8">
        <w:rPr>
          <w:rFonts w:eastAsia="Times New Roman"/>
          <w:kern w:val="0"/>
          <w:lang w:eastAsia="en-GB"/>
          <w14:ligatures w14:val="none"/>
        </w:rPr>
        <w:t xml:space="preserve">he Notice of Public Rights and Publication of Unaudited Annual Governance &amp; </w:t>
      </w:r>
      <w:r>
        <w:rPr>
          <w:rFonts w:eastAsia="Times New Roman"/>
          <w:kern w:val="0"/>
          <w:lang w:eastAsia="en-GB"/>
          <w14:ligatures w14:val="none"/>
        </w:rPr>
        <w:t>Accountability Return in respect of the 2022/23</w:t>
      </w:r>
      <w:r w:rsidR="00D063B8">
        <w:rPr>
          <w:rFonts w:eastAsia="Times New Roman"/>
          <w:kern w:val="0"/>
          <w:lang w:eastAsia="en-GB"/>
          <w14:ligatures w14:val="none"/>
        </w:rPr>
        <w:t xml:space="preserve"> </w:t>
      </w:r>
      <w:r>
        <w:rPr>
          <w:rFonts w:eastAsia="Times New Roman"/>
          <w:kern w:val="0"/>
          <w:lang w:eastAsia="en-GB"/>
          <w14:ligatures w14:val="none"/>
        </w:rPr>
        <w:t>allowed for the required 30 day inspection period, the notice was published prior to the meeting in which the AGAR was approved. In addition to this the AGAR was not approved until after 30 June 2023.</w:t>
      </w:r>
    </w:p>
    <w:sectPr w:rsidR="00D063B8" w:rsidRPr="00FF5CB1" w:rsidSect="0072335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47459"/>
    <w:multiLevelType w:val="hybridMultilevel"/>
    <w:tmpl w:val="25ACB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34456F"/>
    <w:multiLevelType w:val="hybridMultilevel"/>
    <w:tmpl w:val="3CD8B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B4658C"/>
    <w:multiLevelType w:val="hybridMultilevel"/>
    <w:tmpl w:val="F1D4FF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445195B"/>
    <w:multiLevelType w:val="hybridMultilevel"/>
    <w:tmpl w:val="1F4E6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125F7"/>
    <w:multiLevelType w:val="hybridMultilevel"/>
    <w:tmpl w:val="67B6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DC5D50"/>
    <w:multiLevelType w:val="hybridMultilevel"/>
    <w:tmpl w:val="122C8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8673792">
    <w:abstractNumId w:val="5"/>
  </w:num>
  <w:num w:numId="2" w16cid:durableId="1344164070">
    <w:abstractNumId w:val="4"/>
  </w:num>
  <w:num w:numId="3" w16cid:durableId="11806909">
    <w:abstractNumId w:val="1"/>
  </w:num>
  <w:num w:numId="4" w16cid:durableId="437062094">
    <w:abstractNumId w:val="2"/>
  </w:num>
  <w:num w:numId="5" w16cid:durableId="605121325">
    <w:abstractNumId w:val="0"/>
  </w:num>
  <w:num w:numId="6" w16cid:durableId="827791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17"/>
    <w:rsid w:val="000E0702"/>
    <w:rsid w:val="00512C44"/>
    <w:rsid w:val="0070692A"/>
    <w:rsid w:val="00723357"/>
    <w:rsid w:val="009514D9"/>
    <w:rsid w:val="00C22917"/>
    <w:rsid w:val="00CA20D7"/>
    <w:rsid w:val="00D063B8"/>
    <w:rsid w:val="00D06E78"/>
    <w:rsid w:val="00F0573D"/>
    <w:rsid w:val="00FF5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D470"/>
  <w15:chartTrackingRefBased/>
  <w15:docId w15:val="{CB5E49D7-B993-43F8-93AC-DD4B77F1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Cox</dc:creator>
  <cp:keywords/>
  <dc:description/>
  <cp:lastModifiedBy>Jacqui Cox</cp:lastModifiedBy>
  <cp:revision>3</cp:revision>
  <dcterms:created xsi:type="dcterms:W3CDTF">2024-06-15T10:48:00Z</dcterms:created>
  <dcterms:modified xsi:type="dcterms:W3CDTF">2024-06-16T09:34:00Z</dcterms:modified>
</cp:coreProperties>
</file>